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E15F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70" w:lineRule="exact"/>
        <w:jc w:val="center"/>
        <w:textAlignment w:val="auto"/>
        <w:rPr>
          <w:rFonts w:hint="eastAsia" w:ascii="方正小标宋简体" w:hAnsi="方正小标宋简体" w:eastAsia="方正小标宋简体" w:cs="方正小标宋简体"/>
          <w:color w:val="auto"/>
          <w:sz w:val="44"/>
          <w:szCs w:val="44"/>
          <w:u w:val="none"/>
        </w:rPr>
      </w:pPr>
      <w:bookmarkStart w:id="0" w:name="_GoBack"/>
      <w:r>
        <w:rPr>
          <w:rFonts w:hint="eastAsia" w:ascii="方正小标宋简体" w:hAnsi="方正小标宋简体" w:eastAsia="方正小标宋简体" w:cs="方正小标宋简体"/>
          <w:color w:val="auto"/>
          <w:sz w:val="44"/>
          <w:szCs w:val="44"/>
          <w:u w:val="none"/>
        </w:rPr>
        <w:t>黑龙江省城镇开发边界管理实施细则（试行）</w:t>
      </w:r>
      <w:bookmarkEnd w:id="0"/>
    </w:p>
    <w:p w14:paraId="6891DF2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黑体" w:hAnsi="黑体" w:eastAsia="黑体" w:cs="黑体"/>
          <w:b w:val="0"/>
          <w:bCs w:val="0"/>
          <w:color w:val="auto"/>
          <w:sz w:val="32"/>
          <w:szCs w:val="32"/>
          <w:u w:val="none"/>
        </w:rPr>
      </w:pPr>
    </w:p>
    <w:p w14:paraId="597AE0BA">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70" w:lineRule="exact"/>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 xml:space="preserve">第一章 </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总</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则</w:t>
      </w:r>
    </w:p>
    <w:p w14:paraId="4768C760">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第一条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为</w:t>
      </w:r>
      <w:r>
        <w:rPr>
          <w:rFonts w:hint="eastAsia" w:ascii="仿宋_GB2312" w:eastAsia="仿宋_GB2312"/>
          <w:color w:val="auto"/>
          <w:sz w:val="32"/>
          <w:szCs w:val="32"/>
          <w:u w:val="none"/>
          <w:lang w:eastAsia="zh-CN"/>
        </w:rPr>
        <w:t>贯彻落实</w:t>
      </w:r>
      <w:r>
        <w:rPr>
          <w:rFonts w:hint="eastAsia" w:ascii="仿宋_GB2312" w:eastAsia="仿宋_GB2312"/>
          <w:color w:val="auto"/>
          <w:sz w:val="32"/>
          <w:szCs w:val="32"/>
          <w:u w:val="none"/>
        </w:rPr>
        <w:t>《自然资源部关于做好城镇开发边界管理的通知（试行）》</w:t>
      </w:r>
      <w:r>
        <w:rPr>
          <w:rFonts w:hint="eastAsia" w:ascii="仿宋_GB2312" w:eastAsia="仿宋_GB2312"/>
          <w:color w:val="auto"/>
          <w:sz w:val="32"/>
          <w:szCs w:val="32"/>
          <w:u w:val="none"/>
          <w:lang w:eastAsia="zh-CN"/>
        </w:rPr>
        <w:t>《黑龙江省国土空间规划（</w:t>
      </w:r>
      <w:r>
        <w:rPr>
          <w:rFonts w:hint="eastAsia" w:ascii="仿宋_GB2312" w:eastAsia="仿宋_GB2312"/>
          <w:color w:val="auto"/>
          <w:sz w:val="32"/>
          <w:szCs w:val="32"/>
          <w:u w:val="none"/>
          <w:lang w:val="en-US" w:eastAsia="zh-CN"/>
        </w:rPr>
        <w:t>2021—2035年</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加强和规范城镇开发边界管理，</w:t>
      </w:r>
      <w:r>
        <w:rPr>
          <w:rFonts w:hint="eastAsia" w:ascii="仿宋_GB2312" w:eastAsia="仿宋_GB2312"/>
          <w:color w:val="auto"/>
          <w:sz w:val="32"/>
          <w:szCs w:val="32"/>
          <w:u w:val="none"/>
          <w:lang w:eastAsia="zh-CN"/>
        </w:rPr>
        <w:t>结合我省实际，</w:t>
      </w:r>
      <w:r>
        <w:rPr>
          <w:rFonts w:hint="eastAsia" w:ascii="仿宋_GB2312" w:eastAsia="仿宋_GB2312"/>
          <w:color w:val="auto"/>
          <w:sz w:val="32"/>
          <w:szCs w:val="32"/>
          <w:u w:val="none"/>
        </w:rPr>
        <w:t>制定本</w:t>
      </w:r>
      <w:r>
        <w:rPr>
          <w:rFonts w:hint="eastAsia" w:ascii="仿宋_GB2312" w:eastAsia="仿宋_GB2312"/>
          <w:color w:val="auto"/>
          <w:sz w:val="32"/>
          <w:szCs w:val="32"/>
          <w:u w:val="none"/>
          <w:lang w:eastAsia="zh-CN"/>
        </w:rPr>
        <w:t>实施</w:t>
      </w:r>
      <w:r>
        <w:rPr>
          <w:rFonts w:hint="eastAsia" w:ascii="仿宋_GB2312" w:eastAsia="仿宋_GB2312"/>
          <w:color w:val="auto"/>
          <w:sz w:val="32"/>
          <w:szCs w:val="32"/>
          <w:u w:val="none"/>
        </w:rPr>
        <w:t>细则。</w:t>
      </w:r>
    </w:p>
    <w:p w14:paraId="722AEFF7">
      <w:pPr>
        <w:keepNext w:val="0"/>
        <w:keepLines w:val="0"/>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color w:val="auto"/>
          <w:sz w:val="32"/>
          <w:szCs w:val="32"/>
          <w:u w:val="none"/>
          <w:lang w:eastAsia="zh-CN"/>
        </w:rPr>
      </w:pPr>
      <w:r>
        <w:rPr>
          <w:rFonts w:hint="eastAsia" w:ascii="楷体_GB2312" w:eastAsia="楷体_GB2312"/>
          <w:color w:val="auto"/>
          <w:sz w:val="32"/>
          <w:szCs w:val="32"/>
          <w:u w:val="none"/>
        </w:rPr>
        <w:t>第二条</w:t>
      </w:r>
      <w:r>
        <w:rPr>
          <w:rFonts w:hint="eastAsia" w:ascii="楷体_GB2312" w:eastAsia="楷体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城镇开发边界是在国土空间规划中划定的，一定时期内因城镇发展需要，可以集中进行城镇开发建设、完善城镇功能、提升空间品质的区域边界。</w:t>
      </w:r>
    </w:p>
    <w:p w14:paraId="403899BA">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三</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切实将党中央、国务院批准的“三区三线”划定成果作为调整经济结构、规划产业发展、推进城镇化不可逾越的红线，严禁违反法律和规划开展用地审批。</w:t>
      </w:r>
    </w:p>
    <w:p w14:paraId="6FFC58B2">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仿宋_GB2312" w:eastAsia="仿宋_GB2312"/>
          <w:color w:val="auto"/>
          <w:sz w:val="32"/>
          <w:szCs w:val="32"/>
          <w:u w:val="none"/>
          <w:lang w:eastAsia="zh-CN"/>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四</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lang w:eastAsia="zh-CN"/>
        </w:rPr>
        <w:t>本省行政区域内城镇开发边界的实施管理工作，适用本细则。</w:t>
      </w:r>
    </w:p>
    <w:p w14:paraId="588CFBC2">
      <w:pPr>
        <w:pStyle w:val="59"/>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五</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县级以上人民政府是城镇开发边界管理的责任主体，县级以上自然资源</w:t>
      </w:r>
      <w:r>
        <w:rPr>
          <w:rFonts w:hint="eastAsia" w:ascii="仿宋_GB2312" w:eastAsia="仿宋_GB2312"/>
          <w:color w:val="auto"/>
          <w:sz w:val="32"/>
          <w:szCs w:val="32"/>
          <w:u w:val="none"/>
          <w:lang w:eastAsia="zh-CN"/>
        </w:rPr>
        <w:t>行政</w:t>
      </w:r>
      <w:r>
        <w:rPr>
          <w:rFonts w:hint="eastAsia" w:ascii="仿宋_GB2312" w:eastAsia="仿宋_GB2312"/>
          <w:color w:val="auto"/>
          <w:sz w:val="32"/>
          <w:szCs w:val="32"/>
          <w:u w:val="none"/>
        </w:rPr>
        <w:t>主管部门</w:t>
      </w:r>
      <w:r>
        <w:rPr>
          <w:rFonts w:hint="eastAsia" w:ascii="仿宋_GB2312" w:eastAsia="仿宋_GB2312"/>
          <w:color w:val="auto"/>
          <w:sz w:val="32"/>
          <w:szCs w:val="32"/>
          <w:u w:val="none"/>
          <w:lang w:eastAsia="zh-CN"/>
        </w:rPr>
        <w:t>具体负责</w:t>
      </w:r>
      <w:r>
        <w:rPr>
          <w:rFonts w:hint="eastAsia" w:ascii="仿宋_GB2312" w:eastAsia="仿宋_GB2312"/>
          <w:color w:val="auto"/>
          <w:sz w:val="32"/>
          <w:szCs w:val="32"/>
          <w:u w:val="none"/>
        </w:rPr>
        <w:t>，与相关部门建立协调机制，统筹做好城镇开发边界管理</w:t>
      </w:r>
      <w:r>
        <w:rPr>
          <w:rFonts w:hint="eastAsia" w:ascii="仿宋_GB2312" w:eastAsia="仿宋_GB2312"/>
          <w:color w:val="auto"/>
          <w:sz w:val="32"/>
          <w:szCs w:val="32"/>
          <w:u w:val="none"/>
          <w:lang w:eastAsia="zh-CN"/>
        </w:rPr>
        <w:t>工作</w:t>
      </w:r>
      <w:r>
        <w:rPr>
          <w:rFonts w:hint="eastAsia" w:ascii="仿宋_GB2312" w:eastAsia="仿宋_GB2312"/>
          <w:color w:val="auto"/>
          <w:sz w:val="32"/>
          <w:szCs w:val="32"/>
          <w:u w:val="none"/>
        </w:rPr>
        <w:t>。</w:t>
      </w:r>
    </w:p>
    <w:p w14:paraId="37048E96">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70" w:lineRule="exact"/>
        <w:jc w:val="center"/>
        <w:textAlignment w:val="auto"/>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二</w:t>
      </w:r>
      <w:r>
        <w:rPr>
          <w:rFonts w:hint="eastAsia" w:ascii="黑体" w:hAnsi="黑体" w:eastAsia="黑体" w:cs="黑体"/>
          <w:b w:val="0"/>
          <w:bCs w:val="0"/>
          <w:color w:val="auto"/>
          <w:sz w:val="32"/>
          <w:szCs w:val="32"/>
          <w:u w:val="none"/>
        </w:rPr>
        <w:t>章</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 xml:space="preserve"> 城镇开发边界内管控</w:t>
      </w:r>
      <w:r>
        <w:rPr>
          <w:rFonts w:hint="eastAsia" w:ascii="黑体" w:hAnsi="黑体" w:eastAsia="黑体" w:cs="黑体"/>
          <w:b w:val="0"/>
          <w:bCs w:val="0"/>
          <w:color w:val="auto"/>
          <w:sz w:val="32"/>
          <w:szCs w:val="32"/>
          <w:u w:val="none"/>
          <w:lang w:eastAsia="zh-CN"/>
        </w:rPr>
        <w:t>要求</w:t>
      </w:r>
    </w:p>
    <w:p w14:paraId="5B2846C9">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六</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各类城镇建设所需要的用地（包括能源化工基地等产业园区等）均需纳入规划城镇建设用地规模和城镇开发边界扩展倍数统筹核算，不得擅自突破城镇建设用地规模和城镇开发边界扩展倍数。</w:t>
      </w:r>
    </w:p>
    <w:p w14:paraId="52C4FD12">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七</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严格城镇开发边界范围内耕地和永久基本农田保护，确需对永久基本农田进行集中连片整治的，原则上仍</w:t>
      </w:r>
      <w:r>
        <w:rPr>
          <w:rFonts w:hint="eastAsia" w:ascii="仿宋_GB2312" w:eastAsia="仿宋_GB2312"/>
          <w:color w:val="auto"/>
          <w:sz w:val="32"/>
          <w:szCs w:val="32"/>
          <w:u w:val="none"/>
          <w:lang w:eastAsia="zh-CN"/>
        </w:rPr>
        <w:t>应</w:t>
      </w:r>
      <w:r>
        <w:rPr>
          <w:rFonts w:hint="eastAsia" w:ascii="仿宋_GB2312" w:eastAsia="仿宋_GB2312"/>
          <w:color w:val="auto"/>
          <w:sz w:val="32"/>
          <w:szCs w:val="32"/>
          <w:u w:val="none"/>
        </w:rPr>
        <w:t>以“开天窗”方式保留在城镇开发边界范围内，且总面积不</w:t>
      </w:r>
      <w:r>
        <w:rPr>
          <w:rFonts w:hint="eastAsia" w:ascii="仿宋_GB2312" w:eastAsia="仿宋_GB2312"/>
          <w:color w:val="auto"/>
          <w:sz w:val="32"/>
          <w:szCs w:val="32"/>
          <w:u w:val="none"/>
          <w:lang w:eastAsia="zh-CN"/>
        </w:rPr>
        <w:t>能</w:t>
      </w:r>
      <w:r>
        <w:rPr>
          <w:rFonts w:hint="eastAsia" w:ascii="仿宋_GB2312" w:eastAsia="仿宋_GB2312"/>
          <w:color w:val="auto"/>
          <w:sz w:val="32"/>
          <w:szCs w:val="32"/>
          <w:u w:val="none"/>
        </w:rPr>
        <w:t>减少；确需调出城镇开发边界范围的，应确保城镇建设用地规模和城镇开发边界扩展倍数不扩大。</w:t>
      </w:r>
    </w:p>
    <w:p w14:paraId="353E7260">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八</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引导城镇建设用地向城镇开发边界内集中，</w:t>
      </w:r>
      <w:r>
        <w:rPr>
          <w:rFonts w:hint="eastAsia" w:ascii="仿宋_GB2312" w:eastAsia="仿宋_GB2312"/>
          <w:color w:val="auto"/>
          <w:sz w:val="32"/>
          <w:szCs w:val="32"/>
          <w:u w:val="none"/>
          <w:lang w:eastAsia="zh-CN"/>
        </w:rPr>
        <w:t>促进城镇集约集聚建设。</w:t>
      </w:r>
      <w:r>
        <w:rPr>
          <w:rFonts w:hint="eastAsia" w:ascii="仿宋_GB2312" w:eastAsia="仿宋_GB2312"/>
          <w:color w:val="auto"/>
          <w:sz w:val="32"/>
          <w:szCs w:val="32"/>
          <w:u w:val="none"/>
        </w:rPr>
        <w:t>加大存量城镇用地挖潜力度，</w:t>
      </w:r>
      <w:r>
        <w:rPr>
          <w:rFonts w:hint="eastAsia" w:ascii="仿宋_GB2312" w:eastAsia="仿宋_GB2312"/>
          <w:color w:val="auto"/>
          <w:sz w:val="32"/>
          <w:szCs w:val="32"/>
          <w:u w:val="none"/>
          <w:lang w:eastAsia="zh-CN"/>
        </w:rPr>
        <w:t>统筹地上地下空间，</w:t>
      </w:r>
      <w:r>
        <w:rPr>
          <w:rFonts w:hint="eastAsia" w:ascii="仿宋_GB2312" w:eastAsia="仿宋_GB2312"/>
          <w:color w:val="auto"/>
          <w:sz w:val="32"/>
          <w:szCs w:val="32"/>
          <w:u w:val="none"/>
        </w:rPr>
        <w:t>引导土地</w:t>
      </w:r>
      <w:r>
        <w:rPr>
          <w:rFonts w:hint="eastAsia" w:ascii="仿宋_GB2312" w:eastAsia="仿宋_GB2312"/>
          <w:color w:val="auto"/>
          <w:sz w:val="32"/>
          <w:szCs w:val="32"/>
          <w:u w:val="none"/>
          <w:lang w:eastAsia="zh-CN"/>
        </w:rPr>
        <w:t>混合开发、空间</w:t>
      </w:r>
      <w:r>
        <w:rPr>
          <w:rFonts w:hint="eastAsia" w:ascii="仿宋_GB2312" w:eastAsia="仿宋_GB2312"/>
          <w:color w:val="auto"/>
          <w:sz w:val="32"/>
          <w:szCs w:val="32"/>
          <w:u w:val="none"/>
        </w:rPr>
        <w:t>复合利用，提高</w:t>
      </w:r>
      <w:r>
        <w:rPr>
          <w:rFonts w:hint="eastAsia" w:ascii="仿宋_GB2312" w:eastAsia="仿宋_GB2312"/>
          <w:color w:val="auto"/>
          <w:sz w:val="32"/>
          <w:szCs w:val="32"/>
          <w:u w:val="none"/>
          <w:lang w:eastAsia="zh-CN"/>
        </w:rPr>
        <w:t>土</w:t>
      </w:r>
      <w:r>
        <w:rPr>
          <w:rFonts w:hint="eastAsia" w:ascii="仿宋_GB2312" w:eastAsia="仿宋_GB2312"/>
          <w:color w:val="auto"/>
          <w:sz w:val="32"/>
          <w:szCs w:val="32"/>
          <w:u w:val="none"/>
        </w:rPr>
        <w:t>地节约集约利用水平。</w:t>
      </w:r>
    </w:p>
    <w:p w14:paraId="4F80CB9B">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lang w:eastAsia="zh-CN"/>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九</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结合</w:t>
      </w:r>
      <w:r>
        <w:rPr>
          <w:rFonts w:hint="eastAsia" w:ascii="仿宋_GB2312" w:eastAsia="仿宋_GB2312"/>
          <w:color w:val="auto"/>
          <w:sz w:val="32"/>
          <w:szCs w:val="32"/>
          <w:u w:val="none"/>
          <w:lang w:eastAsia="zh-CN"/>
        </w:rPr>
        <w:t>市县</w:t>
      </w:r>
      <w:r>
        <w:rPr>
          <w:rFonts w:hint="eastAsia" w:ascii="仿宋_GB2312" w:eastAsia="仿宋_GB2312"/>
          <w:color w:val="auto"/>
          <w:sz w:val="32"/>
          <w:szCs w:val="32"/>
          <w:u w:val="none"/>
        </w:rPr>
        <w:t>国土空间规划编制实施，进一步深化城镇开发边界内规划用地安排，细化功能分区和用地布局，</w:t>
      </w:r>
      <w:r>
        <w:rPr>
          <w:rFonts w:hint="eastAsia" w:ascii="仿宋_GB2312" w:eastAsia="仿宋_GB2312"/>
          <w:color w:val="auto"/>
          <w:sz w:val="32"/>
          <w:szCs w:val="32"/>
          <w:u w:val="none"/>
          <w:lang w:eastAsia="zh-CN"/>
        </w:rPr>
        <w:t>加强与水体保护线、绿地系统线、基础设施建设控制线、历史文化保护线等协同衔接，使</w:t>
      </w:r>
      <w:r>
        <w:rPr>
          <w:rFonts w:hint="eastAsia" w:ascii="仿宋_GB2312" w:eastAsia="仿宋_GB2312"/>
          <w:color w:val="auto"/>
          <w:sz w:val="32"/>
          <w:szCs w:val="32"/>
          <w:u w:val="none"/>
        </w:rPr>
        <w:t>城镇开发边界划定成果精准落地实施。</w:t>
      </w:r>
      <w:r>
        <w:rPr>
          <w:rFonts w:hint="eastAsia" w:ascii="仿宋_GB2312" w:eastAsia="仿宋_GB2312"/>
          <w:color w:val="auto"/>
          <w:sz w:val="32"/>
          <w:szCs w:val="32"/>
          <w:u w:val="none"/>
          <w:lang w:eastAsia="zh-CN"/>
        </w:rPr>
        <w:t>科学、</w:t>
      </w:r>
      <w:r>
        <w:rPr>
          <w:rFonts w:hint="eastAsia" w:ascii="仿宋_GB2312" w:eastAsia="仿宋_GB2312"/>
          <w:color w:val="auto"/>
          <w:sz w:val="32"/>
          <w:szCs w:val="32"/>
          <w:u w:val="none"/>
        </w:rPr>
        <w:t>合理安排城镇建设用地规模、结构、布局和时序，</w:t>
      </w:r>
      <w:r>
        <w:rPr>
          <w:rFonts w:hint="eastAsia" w:ascii="仿宋_GB2312" w:eastAsia="仿宋_GB2312"/>
          <w:color w:val="auto"/>
          <w:sz w:val="32"/>
          <w:szCs w:val="32"/>
          <w:u w:val="none"/>
          <w:lang w:eastAsia="zh-CN"/>
        </w:rPr>
        <w:t>提高新增城镇建设用地使用效率。</w:t>
      </w:r>
    </w:p>
    <w:p w14:paraId="1BBEB60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十</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在城镇开发边界内的</w:t>
      </w:r>
      <w:r>
        <w:rPr>
          <w:rFonts w:hint="eastAsia" w:ascii="仿宋_GB2312" w:eastAsia="仿宋_GB2312"/>
          <w:color w:val="auto"/>
          <w:sz w:val="32"/>
          <w:szCs w:val="32"/>
          <w:u w:val="none"/>
          <w:lang w:eastAsia="zh-CN"/>
        </w:rPr>
        <w:t>增量</w:t>
      </w:r>
      <w:r>
        <w:rPr>
          <w:rFonts w:hint="eastAsia" w:ascii="仿宋_GB2312" w:eastAsia="仿宋_GB2312"/>
          <w:color w:val="auto"/>
          <w:sz w:val="32"/>
          <w:szCs w:val="32"/>
          <w:u w:val="none"/>
        </w:rPr>
        <w:t>用地使用上，要避免“寅吃卯粮”，为“十五五”“十六五”期间</w:t>
      </w:r>
      <w:r>
        <w:rPr>
          <w:rFonts w:hint="eastAsia" w:ascii="仿宋_GB2312" w:eastAsia="仿宋_GB2312"/>
          <w:color w:val="auto"/>
          <w:sz w:val="32"/>
          <w:szCs w:val="32"/>
          <w:u w:val="none"/>
          <w:lang w:eastAsia="zh-CN"/>
        </w:rPr>
        <w:t>至少</w:t>
      </w:r>
      <w:r>
        <w:rPr>
          <w:rFonts w:hint="eastAsia" w:ascii="仿宋_GB2312" w:eastAsia="仿宋_GB2312"/>
          <w:color w:val="auto"/>
          <w:sz w:val="32"/>
          <w:szCs w:val="32"/>
          <w:u w:val="none"/>
        </w:rPr>
        <w:t>保留35%、25%的增量用地；在年度增量用地使用规模上，至少为每年保留五年平均规模的80%，其余可以用于年度间调剂，但不得突破分阶段总量控制目标，为未来发展预留合理空间。部分地区因经济社会发展等确需局部突破上述控制目标的，原则上应在市（地）范围内进行规模统筹。</w:t>
      </w:r>
    </w:p>
    <w:p w14:paraId="4F4867AF">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十一</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按照城市是一个有机生命体的理念，细化落实上位总体规划</w:t>
      </w:r>
      <w:r>
        <w:rPr>
          <w:rFonts w:hint="eastAsia" w:ascii="仿宋_GB2312" w:eastAsia="仿宋_GB2312"/>
          <w:color w:val="auto"/>
          <w:sz w:val="32"/>
          <w:szCs w:val="32"/>
          <w:u w:val="none"/>
          <w:lang w:eastAsia="zh-CN"/>
        </w:rPr>
        <w:t>管控要求，结合行政事权</w:t>
      </w:r>
      <w:r>
        <w:rPr>
          <w:rFonts w:hint="eastAsia" w:ascii="仿宋_GB2312" w:eastAsia="仿宋_GB2312"/>
          <w:color w:val="auto"/>
          <w:sz w:val="32"/>
          <w:szCs w:val="32"/>
          <w:u w:val="none"/>
        </w:rPr>
        <w:t>统筹生产、生活、生态和安全功能需求划定城镇开发边界内详细规划编制单元。根据新城建设、城市更新、产城融合、历史文化保护传承</w:t>
      </w:r>
      <w:r>
        <w:rPr>
          <w:rFonts w:hint="eastAsia" w:ascii="仿宋_GB2312" w:eastAsia="仿宋_GB2312"/>
          <w:color w:val="auto"/>
          <w:sz w:val="32"/>
          <w:szCs w:val="32"/>
          <w:u w:val="none"/>
          <w:lang w:eastAsia="zh-CN"/>
        </w:rPr>
        <w:t>等需求</w:t>
      </w:r>
      <w:r>
        <w:rPr>
          <w:rFonts w:hint="eastAsia" w:ascii="仿宋_GB2312" w:eastAsia="仿宋_GB2312"/>
          <w:color w:val="auto"/>
          <w:sz w:val="32"/>
          <w:szCs w:val="32"/>
          <w:u w:val="none"/>
        </w:rPr>
        <w:t>，探索不同</w:t>
      </w:r>
      <w:r>
        <w:rPr>
          <w:rFonts w:hint="eastAsia" w:ascii="仿宋_GB2312" w:eastAsia="仿宋_GB2312"/>
          <w:color w:val="auto"/>
          <w:sz w:val="32"/>
          <w:szCs w:val="32"/>
          <w:u w:val="none"/>
          <w:lang w:eastAsia="zh-CN"/>
        </w:rPr>
        <w:t>层级</w:t>
      </w:r>
      <w:r>
        <w:rPr>
          <w:rFonts w:hint="eastAsia" w:ascii="仿宋_GB2312" w:eastAsia="仿宋_GB2312"/>
          <w:color w:val="auto"/>
          <w:sz w:val="32"/>
          <w:szCs w:val="32"/>
          <w:u w:val="none"/>
        </w:rPr>
        <w:t>深度详细规划的编制方法，</w:t>
      </w:r>
      <w:r>
        <w:rPr>
          <w:rFonts w:hint="eastAsia" w:ascii="仿宋_GB2312" w:eastAsia="仿宋_GB2312"/>
          <w:color w:val="auto"/>
          <w:sz w:val="32"/>
          <w:szCs w:val="32"/>
          <w:u w:val="none"/>
          <w:lang w:eastAsia="zh-CN"/>
        </w:rPr>
        <w:t>结合地方实际有序开展城镇开发边界内详细规划编制</w:t>
      </w:r>
      <w:r>
        <w:rPr>
          <w:rFonts w:hint="eastAsia" w:ascii="仿宋_GB2312" w:eastAsia="仿宋_GB2312"/>
          <w:color w:val="auto"/>
          <w:sz w:val="32"/>
          <w:szCs w:val="32"/>
          <w:u w:val="none"/>
        </w:rPr>
        <w:t>。对已有详细规划进行评估，不符合现行</w:t>
      </w:r>
      <w:r>
        <w:rPr>
          <w:rFonts w:hint="eastAsia" w:ascii="仿宋_GB2312" w:eastAsia="仿宋_GB2312"/>
          <w:color w:val="auto"/>
          <w:sz w:val="32"/>
          <w:szCs w:val="32"/>
          <w:u w:val="none"/>
          <w:lang w:eastAsia="zh-CN"/>
        </w:rPr>
        <w:t>法律法规及国土空间规划管控</w:t>
      </w:r>
      <w:r>
        <w:rPr>
          <w:rFonts w:hint="eastAsia" w:ascii="仿宋_GB2312" w:eastAsia="仿宋_GB2312"/>
          <w:color w:val="auto"/>
          <w:sz w:val="32"/>
          <w:szCs w:val="32"/>
          <w:u w:val="none"/>
        </w:rPr>
        <w:t>要求的，</w:t>
      </w:r>
      <w:r>
        <w:rPr>
          <w:rFonts w:hint="eastAsia" w:ascii="仿宋_GB2312" w:eastAsia="仿宋_GB2312"/>
          <w:color w:val="auto"/>
          <w:sz w:val="32"/>
          <w:szCs w:val="32"/>
          <w:u w:val="none"/>
          <w:lang w:eastAsia="zh-CN"/>
        </w:rPr>
        <w:t>依法按程序</w:t>
      </w:r>
      <w:r>
        <w:rPr>
          <w:rFonts w:hint="eastAsia" w:ascii="仿宋_GB2312" w:eastAsia="仿宋_GB2312"/>
          <w:color w:val="auto"/>
          <w:sz w:val="32"/>
          <w:szCs w:val="32"/>
          <w:u w:val="none"/>
        </w:rPr>
        <w:t>进行更新完善。</w:t>
      </w:r>
    </w:p>
    <w:p w14:paraId="7013475F">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FF0000"/>
          <w:sz w:val="32"/>
          <w:szCs w:val="32"/>
          <w:u w:val="none"/>
          <w:lang w:eastAsia="zh-CN"/>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十二</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城镇开发边界内实行“详细规划</w:t>
      </w:r>
      <w:r>
        <w:rPr>
          <w:rFonts w:hint="eastAsia" w:ascii="仿宋_GB2312" w:hAnsi="仿宋_GB2312" w:eastAsia="仿宋_GB2312" w:cs="仿宋_GB2312"/>
          <w:color w:val="auto"/>
          <w:sz w:val="32"/>
          <w:szCs w:val="32"/>
          <w:u w:val="none"/>
          <w:lang w:val="en-US" w:eastAsia="zh-CN"/>
        </w:rPr>
        <w:t>+规划许可</w:t>
      </w:r>
      <w:r>
        <w:rPr>
          <w:rFonts w:hint="eastAsia" w:ascii="仿宋_GB2312" w:hAnsi="仿宋_GB2312" w:eastAsia="仿宋_GB2312" w:cs="仿宋_GB2312"/>
          <w:color w:val="auto"/>
          <w:sz w:val="32"/>
          <w:szCs w:val="32"/>
          <w:u w:val="none"/>
          <w:lang w:eastAsia="zh-CN"/>
        </w:rPr>
        <w:t>”的用途管制方式，以详细规划作为实施城镇开发建设、整治更新、保护修复活动和核发建设用地规划许可证、建设工程规划许可证的法定依据。不得以城市设计、城市更新规划等专项规划替代详细规划作为城镇开发边界内各类开发保护建设活动的规划审批依据。</w:t>
      </w:r>
    </w:p>
    <w:p w14:paraId="1EE82611">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三</w:t>
      </w:r>
      <w:r>
        <w:rPr>
          <w:rFonts w:hint="eastAsia" w:ascii="黑体" w:hAnsi="黑体" w:eastAsia="黑体" w:cs="黑体"/>
          <w:b w:val="0"/>
          <w:bCs w:val="0"/>
          <w:color w:val="auto"/>
          <w:sz w:val="32"/>
          <w:szCs w:val="32"/>
          <w:u w:val="none"/>
        </w:rPr>
        <w:t xml:space="preserve">章 </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城镇开发边界外管控</w:t>
      </w:r>
      <w:r>
        <w:rPr>
          <w:rFonts w:hint="eastAsia" w:ascii="黑体" w:hAnsi="黑体" w:eastAsia="黑体" w:cs="黑体"/>
          <w:b w:val="0"/>
          <w:bCs w:val="0"/>
          <w:color w:val="auto"/>
          <w:sz w:val="32"/>
          <w:szCs w:val="32"/>
          <w:u w:val="none"/>
          <w:lang w:eastAsia="zh-CN"/>
        </w:rPr>
        <w:t>要求</w:t>
      </w:r>
    </w:p>
    <w:p w14:paraId="282A1460">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三</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城镇开发边界外不得进行城镇集中建设，不得规划建设各类开发区和产业园区，不得规划城镇居住用地。</w:t>
      </w:r>
    </w:p>
    <w:p w14:paraId="2DBA65DF">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eastAsia="仿宋_GB2312"/>
          <w:color w:val="auto"/>
          <w:sz w:val="32"/>
          <w:szCs w:val="32"/>
          <w:u w:val="none"/>
          <w:lang w:eastAsia="zh-CN"/>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四</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城镇开发边界外可布局乡村建设用地</w:t>
      </w:r>
      <w:r>
        <w:rPr>
          <w:rFonts w:hint="eastAsia" w:ascii="仿宋_GB2312" w:eastAsia="仿宋_GB2312"/>
          <w:color w:val="auto"/>
          <w:sz w:val="32"/>
          <w:szCs w:val="32"/>
          <w:u w:val="none"/>
          <w:lang w:eastAsia="zh-CN"/>
        </w:rPr>
        <w:t>，能源、交通、水利等</w:t>
      </w:r>
      <w:r>
        <w:rPr>
          <w:rFonts w:hint="eastAsia" w:ascii="仿宋_GB2312" w:eastAsia="仿宋_GB2312"/>
          <w:color w:val="auto"/>
          <w:sz w:val="32"/>
          <w:szCs w:val="32"/>
          <w:u w:val="none"/>
        </w:rPr>
        <w:t>基础设施用地以及采矿用地、特殊用地等建设用地。在落实最严格的耕地保护、节约用地、生态环境保护制度</w:t>
      </w:r>
      <w:r>
        <w:rPr>
          <w:rFonts w:hint="eastAsia" w:ascii="仿宋_GB2312" w:eastAsia="仿宋_GB2312"/>
          <w:color w:val="auto"/>
          <w:sz w:val="32"/>
          <w:szCs w:val="32"/>
          <w:u w:val="none"/>
          <w:lang w:eastAsia="zh-CN"/>
        </w:rPr>
        <w:t>并充分论证</w:t>
      </w:r>
      <w:r>
        <w:rPr>
          <w:rFonts w:hint="eastAsia" w:ascii="仿宋_GB2312" w:eastAsia="仿宋_GB2312"/>
          <w:color w:val="auto"/>
          <w:sz w:val="32"/>
          <w:szCs w:val="32"/>
          <w:u w:val="none"/>
        </w:rPr>
        <w:t>的前提下，结合城乡融合、区域一体化发展和旅游开发、边境地区建设等合理需要，在城镇开发边界外可规划布局有特定选址要求的零星城镇建设用地</w:t>
      </w:r>
      <w:r>
        <w:rPr>
          <w:rFonts w:hint="eastAsia" w:ascii="仿宋_GB2312" w:eastAsia="仿宋_GB2312"/>
          <w:color w:val="auto"/>
          <w:sz w:val="32"/>
          <w:szCs w:val="32"/>
          <w:u w:val="none"/>
          <w:lang w:eastAsia="zh-CN"/>
        </w:rPr>
        <w:t>，具体包括以下类型：</w:t>
      </w:r>
    </w:p>
    <w:p w14:paraId="6C70B924">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（一）具有城镇服务功能的城镇组团间连接性的道路及交通场站</w:t>
      </w:r>
      <w:r>
        <w:rPr>
          <w:rFonts w:hint="eastAsia" w:ascii="仿宋_GB2312" w:eastAsia="仿宋_GB2312" w:cs="Times New Roman"/>
          <w:color w:val="auto"/>
          <w:sz w:val="32"/>
          <w:szCs w:val="32"/>
          <w:u w:val="none"/>
          <w:lang w:eastAsia="zh-CN"/>
        </w:rPr>
        <w:t>等交通运输用地。</w:t>
      </w:r>
    </w:p>
    <w:p w14:paraId="781FBF1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（二）需要远离城镇或结合交通运输条件布局的</w:t>
      </w:r>
      <w:r>
        <w:rPr>
          <w:rFonts w:hint="eastAsia" w:ascii="仿宋_GB2312" w:eastAsia="仿宋_GB2312"/>
          <w:color w:val="auto"/>
          <w:sz w:val="32"/>
          <w:szCs w:val="32"/>
          <w:u w:val="none"/>
        </w:rPr>
        <w:t>加油站、加气站、充换电</w:t>
      </w:r>
      <w:r>
        <w:rPr>
          <w:rFonts w:hint="eastAsia" w:ascii="仿宋_GB2312" w:eastAsia="仿宋_GB2312" w:cs="Times New Roman"/>
          <w:color w:val="auto"/>
          <w:sz w:val="32"/>
          <w:szCs w:val="32"/>
          <w:u w:val="none"/>
          <w:lang w:eastAsia="zh-CN"/>
        </w:rPr>
        <w:t>站等商业服务业用地</w:t>
      </w:r>
      <w:r>
        <w:rPr>
          <w:rFonts w:hint="eastAsia" w:ascii="仿宋_GB2312" w:eastAsia="仿宋_GB2312"/>
          <w:color w:val="auto"/>
          <w:sz w:val="32"/>
          <w:szCs w:val="32"/>
          <w:u w:val="none"/>
          <w:lang w:eastAsia="zh-CN"/>
        </w:rPr>
        <w:t>。</w:t>
      </w:r>
    </w:p>
    <w:p w14:paraId="2C0F081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color w:val="auto"/>
          <w:sz w:val="32"/>
          <w:szCs w:val="32"/>
          <w:u w:val="none"/>
          <w:lang w:eastAsia="zh-CN"/>
        </w:rPr>
      </w:pPr>
      <w:r>
        <w:rPr>
          <w:rFonts w:hint="eastAsia" w:ascii="仿宋_GB2312" w:eastAsia="仿宋_GB2312"/>
          <w:color w:val="auto"/>
          <w:sz w:val="32"/>
          <w:szCs w:val="32"/>
          <w:u w:val="none"/>
          <w:lang w:eastAsia="zh-CN"/>
        </w:rPr>
        <w:t>（三）依托自然景观、历史文化等特定资源布局的旅游设施、康养设施、科普宣教设施、文创设施、保护纪念设施、体育训练设施</w:t>
      </w:r>
      <w:r>
        <w:rPr>
          <w:rFonts w:hint="eastAsia" w:ascii="仿宋_GB2312" w:eastAsia="仿宋_GB2312" w:cs="Times New Roman"/>
          <w:color w:val="auto"/>
          <w:sz w:val="32"/>
          <w:szCs w:val="32"/>
          <w:u w:val="none"/>
          <w:lang w:eastAsia="zh-CN"/>
        </w:rPr>
        <w:t>等公共管理与公共服务、商业服务业、交通运输、绿地与开敞空间等用地。</w:t>
      </w:r>
    </w:p>
    <w:p w14:paraId="2D0EBD3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（四）有邻避要求的易燃、易爆、剧毒等危险品物流仓储，国家和省级粮食、棉花、石油等战略性储备库，</w:t>
      </w:r>
      <w:r>
        <w:rPr>
          <w:rFonts w:hint="eastAsia" w:ascii="仿宋_GB2312" w:eastAsia="仿宋_GB2312"/>
          <w:color w:val="auto"/>
          <w:sz w:val="32"/>
          <w:szCs w:val="32"/>
          <w:u w:val="none"/>
        </w:rPr>
        <w:t>传染病医院、</w:t>
      </w:r>
      <w:r>
        <w:rPr>
          <w:rFonts w:hint="eastAsia" w:ascii="仿宋_GB2312" w:eastAsia="仿宋_GB2312"/>
          <w:color w:val="auto"/>
          <w:sz w:val="32"/>
          <w:szCs w:val="32"/>
          <w:u w:val="none"/>
          <w:lang w:eastAsia="zh-CN"/>
        </w:rPr>
        <w:t>精神病院、</w:t>
      </w:r>
      <w:r>
        <w:rPr>
          <w:rFonts w:hint="eastAsia" w:ascii="仿宋_GB2312" w:eastAsia="仿宋_GB2312"/>
          <w:color w:val="auto"/>
          <w:sz w:val="32"/>
          <w:szCs w:val="32"/>
          <w:u w:val="none"/>
        </w:rPr>
        <w:t>疫</w:t>
      </w:r>
      <w:r>
        <w:rPr>
          <w:rFonts w:hint="eastAsia" w:ascii="仿宋_GB2312" w:eastAsia="仿宋_GB2312" w:cs="Times New Roman"/>
          <w:color w:val="auto"/>
          <w:sz w:val="32"/>
          <w:szCs w:val="32"/>
          <w:u w:val="none"/>
          <w:lang w:eastAsia="zh-CN"/>
        </w:rPr>
        <w:t>情防护隔离设施等工业仓储、公共管理与公共服务等</w:t>
      </w:r>
      <w:r>
        <w:rPr>
          <w:rFonts w:hint="eastAsia" w:ascii="仿宋_GB2312" w:eastAsia="仿宋_GB2312"/>
          <w:color w:val="auto"/>
          <w:sz w:val="32"/>
          <w:szCs w:val="32"/>
          <w:u w:val="none"/>
          <w:lang w:eastAsia="zh-CN"/>
        </w:rPr>
        <w:t>用地（已纳入化工园区的除外）。</w:t>
      </w:r>
    </w:p>
    <w:p w14:paraId="008C6E7C">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（五）具有特定选址要求的</w:t>
      </w:r>
      <w:r>
        <w:rPr>
          <w:rFonts w:hint="eastAsia" w:ascii="仿宋_GB2312" w:eastAsia="仿宋_GB2312"/>
          <w:color w:val="auto"/>
          <w:sz w:val="32"/>
          <w:szCs w:val="32"/>
          <w:u w:val="none"/>
        </w:rPr>
        <w:t>供水、排水、供电、供燃气、供热、通信、</w:t>
      </w:r>
      <w:r>
        <w:rPr>
          <w:rFonts w:hint="eastAsia" w:ascii="仿宋_GB2312" w:eastAsia="仿宋_GB2312"/>
          <w:color w:val="auto"/>
          <w:sz w:val="32"/>
          <w:szCs w:val="32"/>
          <w:u w:val="none"/>
          <w:lang w:eastAsia="zh-CN"/>
        </w:rPr>
        <w:t>邮政、</w:t>
      </w:r>
      <w:r>
        <w:rPr>
          <w:rFonts w:hint="eastAsia" w:ascii="仿宋_GB2312" w:eastAsia="仿宋_GB2312"/>
          <w:color w:val="auto"/>
          <w:sz w:val="32"/>
          <w:szCs w:val="32"/>
          <w:u w:val="none"/>
        </w:rPr>
        <w:t>广播电视、环卫、消防</w:t>
      </w:r>
      <w:r>
        <w:rPr>
          <w:rFonts w:hint="eastAsia" w:ascii="仿宋_GB2312" w:eastAsia="仿宋_GB2312"/>
          <w:color w:val="auto"/>
          <w:sz w:val="32"/>
          <w:szCs w:val="32"/>
          <w:u w:val="none"/>
          <w:lang w:eastAsia="zh-CN"/>
        </w:rPr>
        <w:t>、气象、地震、水文、环境监测、应急救援</w:t>
      </w:r>
      <w:r>
        <w:rPr>
          <w:rFonts w:hint="eastAsia" w:ascii="仿宋_GB2312" w:eastAsia="仿宋_GB2312" w:cs="Times New Roman"/>
          <w:color w:val="auto"/>
          <w:sz w:val="32"/>
          <w:szCs w:val="32"/>
          <w:u w:val="none"/>
          <w:lang w:eastAsia="zh-CN"/>
        </w:rPr>
        <w:t>、防灾减灾等公用设施、公共管理与公共服务等用</w:t>
      </w:r>
      <w:r>
        <w:rPr>
          <w:rFonts w:hint="eastAsia" w:ascii="仿宋_GB2312" w:eastAsia="仿宋_GB2312"/>
          <w:color w:val="auto"/>
          <w:sz w:val="32"/>
          <w:szCs w:val="32"/>
          <w:u w:val="none"/>
          <w:lang w:eastAsia="zh-CN"/>
        </w:rPr>
        <w:t>地。</w:t>
      </w:r>
    </w:p>
    <w:p w14:paraId="2DFE8B4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（六）依托本地农业资源布局的农村一二三产业融合发展、乡村振兴等初级加工产业用地。</w:t>
      </w:r>
    </w:p>
    <w:p w14:paraId="53BFAD5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（七）因稳边固边兴边需要，依托边境资源、特殊地理位置等选址的零星城镇建设用地。</w:t>
      </w:r>
    </w:p>
    <w:p w14:paraId="69859960">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（八）</w:t>
      </w:r>
      <w:r>
        <w:rPr>
          <w:rFonts w:hint="eastAsia" w:ascii="仿宋_GB2312" w:eastAsia="仿宋_GB2312"/>
          <w:color w:val="auto"/>
          <w:sz w:val="32"/>
          <w:szCs w:val="32"/>
          <w:u w:val="none"/>
        </w:rPr>
        <w:t>法律法规规定可以在城镇开发边界外规划布局的其他城镇建设用地。</w:t>
      </w:r>
    </w:p>
    <w:p w14:paraId="325DB37E">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eastAsia="仿宋_GB2312"/>
          <w:color w:val="auto"/>
          <w:sz w:val="32"/>
          <w:szCs w:val="32"/>
          <w:u w:val="none"/>
          <w:shd w:val="clear" w:color="auto" w:fill="FFFFFF"/>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五</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shd w:val="clear" w:color="auto" w:fill="FFFFFF"/>
        </w:rPr>
        <w:t>零星城镇建设用地实行规模总量控制，所涉及的新增城镇建设用地规模，一般不超过</w:t>
      </w:r>
      <w:r>
        <w:rPr>
          <w:rFonts w:hint="eastAsia" w:ascii="仿宋_GB2312" w:eastAsia="仿宋_GB2312"/>
          <w:color w:val="auto"/>
          <w:sz w:val="32"/>
          <w:szCs w:val="32"/>
          <w:u w:val="none"/>
          <w:shd w:val="clear" w:color="auto" w:fill="FFFFFF"/>
          <w:lang w:eastAsia="zh-CN"/>
        </w:rPr>
        <w:t>城镇开发边界内</w:t>
      </w:r>
      <w:r>
        <w:rPr>
          <w:rFonts w:hint="eastAsia" w:ascii="仿宋_GB2312" w:eastAsia="仿宋_GB2312"/>
          <w:color w:val="auto"/>
          <w:sz w:val="32"/>
          <w:szCs w:val="32"/>
          <w:u w:val="none"/>
          <w:shd w:val="clear" w:color="auto" w:fill="FFFFFF"/>
        </w:rPr>
        <w:t>新增城镇建设用地总规模的</w:t>
      </w:r>
      <w:r>
        <w:rPr>
          <w:rFonts w:hint="eastAsia" w:ascii="仿宋_GB2312" w:eastAsia="仿宋_GB2312"/>
          <w:color w:val="auto"/>
          <w:sz w:val="32"/>
          <w:szCs w:val="32"/>
          <w:u w:val="none"/>
          <w:shd w:val="clear" w:color="auto" w:fill="FFFFFF"/>
          <w:lang w:val="en-US" w:eastAsia="zh-CN"/>
        </w:rPr>
        <w:t>1</w:t>
      </w:r>
      <w:r>
        <w:rPr>
          <w:rFonts w:ascii="仿宋_GB2312" w:eastAsia="仿宋_GB2312"/>
          <w:color w:val="auto"/>
          <w:sz w:val="32"/>
          <w:szCs w:val="32"/>
          <w:u w:val="none"/>
          <w:shd w:val="clear" w:color="auto" w:fill="FFFFFF"/>
        </w:rPr>
        <w:t>0%</w:t>
      </w:r>
      <w:r>
        <w:rPr>
          <w:rFonts w:hint="eastAsia" w:ascii="仿宋_GB2312" w:eastAsia="仿宋_GB2312"/>
          <w:color w:val="auto"/>
          <w:sz w:val="32"/>
          <w:szCs w:val="32"/>
          <w:u w:val="none"/>
          <w:shd w:val="clear" w:color="auto" w:fill="FFFFFF"/>
        </w:rPr>
        <w:t>，并需</w:t>
      </w:r>
      <w:r>
        <w:rPr>
          <w:rFonts w:hint="eastAsia" w:ascii="仿宋_GB2312" w:eastAsia="仿宋_GB2312"/>
          <w:color w:val="auto"/>
          <w:sz w:val="32"/>
          <w:szCs w:val="32"/>
          <w:u w:val="none"/>
          <w:shd w:val="clear" w:color="auto" w:fill="FFFFFF"/>
          <w:lang w:eastAsia="zh-CN"/>
        </w:rPr>
        <w:t>等量缩减</w:t>
      </w:r>
      <w:r>
        <w:rPr>
          <w:rFonts w:hint="eastAsia" w:ascii="仿宋_GB2312" w:eastAsia="仿宋_GB2312"/>
          <w:color w:val="auto"/>
          <w:sz w:val="32"/>
          <w:szCs w:val="32"/>
          <w:u w:val="none"/>
          <w:shd w:val="clear" w:color="auto" w:fill="FFFFFF"/>
        </w:rPr>
        <w:t>城镇开发边界内</w:t>
      </w:r>
      <w:r>
        <w:rPr>
          <w:rFonts w:hint="eastAsia" w:ascii="仿宋_GB2312" w:eastAsia="仿宋_GB2312"/>
          <w:color w:val="auto"/>
          <w:sz w:val="32"/>
          <w:szCs w:val="32"/>
          <w:u w:val="none"/>
          <w:shd w:val="clear" w:color="auto" w:fill="FFFFFF"/>
          <w:lang w:eastAsia="zh-CN"/>
        </w:rPr>
        <w:t>的</w:t>
      </w:r>
      <w:r>
        <w:rPr>
          <w:rFonts w:hint="eastAsia" w:ascii="仿宋_GB2312" w:eastAsia="仿宋_GB2312"/>
          <w:color w:val="auto"/>
          <w:sz w:val="32"/>
          <w:szCs w:val="32"/>
          <w:u w:val="none"/>
          <w:shd w:val="clear" w:color="auto" w:fill="FFFFFF"/>
        </w:rPr>
        <w:t>新增城镇建设用地，确保城镇建设用地总规模和城镇开发边界扩展倍数不突破。</w:t>
      </w:r>
    </w:p>
    <w:p w14:paraId="30ECBD40">
      <w:pPr>
        <w:keepNext w:val="0"/>
        <w:keepLines w:val="0"/>
        <w:pageBreakBefore w:val="0"/>
        <w:suppressAutoHyphens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六</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布局在</w:t>
      </w:r>
      <w:r>
        <w:rPr>
          <w:rFonts w:hint="eastAsia" w:ascii="仿宋_GB2312" w:eastAsia="仿宋_GB2312"/>
          <w:color w:val="auto"/>
          <w:sz w:val="32"/>
          <w:szCs w:val="32"/>
          <w:u w:val="none"/>
        </w:rPr>
        <w:t>城镇开发边界外的零星城镇建设用地</w:t>
      </w:r>
      <w:r>
        <w:rPr>
          <w:rFonts w:hint="eastAsia" w:ascii="仿宋_GB2312" w:eastAsia="仿宋_GB2312"/>
          <w:color w:val="auto"/>
          <w:sz w:val="32"/>
          <w:szCs w:val="32"/>
          <w:u w:val="none"/>
          <w:lang w:eastAsia="zh-CN"/>
        </w:rPr>
        <w:t>和乡村建设用地，</w:t>
      </w:r>
      <w:r>
        <w:rPr>
          <w:rFonts w:hint="eastAsia" w:ascii="仿宋_GB2312" w:eastAsia="仿宋_GB2312"/>
          <w:color w:val="auto"/>
          <w:sz w:val="32"/>
          <w:szCs w:val="32"/>
          <w:u w:val="none"/>
        </w:rPr>
        <w:t>可</w:t>
      </w:r>
      <w:r>
        <w:rPr>
          <w:rFonts w:hint="eastAsia" w:ascii="仿宋_GB2312" w:eastAsia="仿宋_GB2312"/>
          <w:color w:val="auto"/>
          <w:sz w:val="32"/>
          <w:szCs w:val="32"/>
          <w:u w:val="none"/>
          <w:lang w:eastAsia="zh-CN"/>
        </w:rPr>
        <w:t>依法</w:t>
      </w:r>
      <w:r>
        <w:rPr>
          <w:rFonts w:hint="eastAsia" w:ascii="仿宋_GB2312" w:eastAsia="仿宋_GB2312"/>
          <w:color w:val="auto"/>
          <w:sz w:val="32"/>
          <w:szCs w:val="32"/>
          <w:u w:val="none"/>
        </w:rPr>
        <w:t>按批次用地报批</w:t>
      </w:r>
      <w:r>
        <w:rPr>
          <w:rFonts w:hint="eastAsia" w:ascii="仿宋_GB2312" w:eastAsia="仿宋_GB2312"/>
          <w:color w:val="auto"/>
          <w:sz w:val="32"/>
          <w:szCs w:val="32"/>
          <w:u w:val="none"/>
          <w:lang w:eastAsia="zh-CN"/>
        </w:rPr>
        <w:t>。能源、交通、水利等</w:t>
      </w:r>
      <w:r>
        <w:rPr>
          <w:rFonts w:hint="eastAsia" w:ascii="仿宋_GB2312" w:eastAsia="仿宋_GB2312"/>
          <w:color w:val="auto"/>
          <w:sz w:val="32"/>
          <w:szCs w:val="32"/>
          <w:u w:val="none"/>
        </w:rPr>
        <w:t>基础设施用地</w:t>
      </w:r>
      <w:r>
        <w:rPr>
          <w:rFonts w:hint="eastAsia" w:ascii="仿宋_GB2312" w:eastAsia="仿宋_GB2312"/>
          <w:color w:val="auto"/>
          <w:sz w:val="32"/>
          <w:szCs w:val="32"/>
          <w:u w:val="none"/>
          <w:lang w:eastAsia="zh-CN"/>
        </w:rPr>
        <w:t>以及采矿用地、特殊用地，</w:t>
      </w:r>
      <w:r>
        <w:rPr>
          <w:rFonts w:hint="eastAsia" w:ascii="仿宋_GB2312" w:eastAsia="仿宋_GB2312"/>
          <w:color w:val="auto"/>
          <w:sz w:val="32"/>
          <w:szCs w:val="32"/>
          <w:u w:val="none"/>
        </w:rPr>
        <w:t>可</w:t>
      </w:r>
      <w:r>
        <w:rPr>
          <w:rFonts w:hint="eastAsia" w:ascii="仿宋_GB2312" w:eastAsia="仿宋_GB2312"/>
          <w:color w:val="auto"/>
          <w:sz w:val="32"/>
          <w:szCs w:val="32"/>
          <w:u w:val="none"/>
          <w:lang w:eastAsia="zh-CN"/>
        </w:rPr>
        <w:t>依法</w:t>
      </w:r>
      <w:r>
        <w:rPr>
          <w:rFonts w:hint="eastAsia" w:ascii="仿宋_GB2312" w:eastAsia="仿宋_GB2312"/>
          <w:color w:val="auto"/>
          <w:sz w:val="32"/>
          <w:szCs w:val="32"/>
          <w:u w:val="none"/>
        </w:rPr>
        <w:t>按单独选址用地报批。用地报批应符合国土空间规划和用途管制要求。</w:t>
      </w:r>
    </w:p>
    <w:p w14:paraId="63E994DC">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四</w:t>
      </w:r>
      <w:r>
        <w:rPr>
          <w:rFonts w:hint="eastAsia" w:ascii="黑体" w:hAnsi="黑体" w:eastAsia="黑体" w:cs="黑体"/>
          <w:b w:val="0"/>
          <w:bCs w:val="0"/>
          <w:color w:val="auto"/>
          <w:sz w:val="32"/>
          <w:szCs w:val="32"/>
          <w:u w:val="none"/>
        </w:rPr>
        <w:t xml:space="preserve">章 </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城镇开发边界调整</w:t>
      </w:r>
      <w:r>
        <w:rPr>
          <w:rFonts w:hint="eastAsia" w:ascii="黑体" w:hAnsi="黑体" w:eastAsia="黑体" w:cs="黑体"/>
          <w:b w:val="0"/>
          <w:bCs w:val="0"/>
          <w:color w:val="auto"/>
          <w:sz w:val="32"/>
          <w:szCs w:val="32"/>
          <w:u w:val="none"/>
          <w:lang w:eastAsia="zh-CN"/>
        </w:rPr>
        <w:t>和局部</w:t>
      </w:r>
      <w:r>
        <w:rPr>
          <w:rFonts w:hint="eastAsia" w:ascii="黑体" w:hAnsi="黑体" w:eastAsia="黑体" w:cs="黑体"/>
          <w:b w:val="0"/>
          <w:bCs w:val="0"/>
          <w:color w:val="auto"/>
          <w:sz w:val="32"/>
          <w:szCs w:val="32"/>
          <w:u w:val="none"/>
        </w:rPr>
        <w:t>优化</w:t>
      </w:r>
    </w:p>
    <w:p w14:paraId="5AC344F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七</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hAnsi="仿宋_GB2312" w:eastAsia="仿宋_GB2312" w:cs="仿宋_GB2312"/>
          <w:color w:val="auto"/>
          <w:kern w:val="0"/>
          <w:sz w:val="32"/>
          <w:szCs w:val="32"/>
          <w:u w:val="none"/>
          <w:lang w:bidi="ar"/>
        </w:rPr>
        <w:t>城镇开发边界一经划定，</w:t>
      </w:r>
      <w:r>
        <w:rPr>
          <w:rFonts w:hint="eastAsia" w:ascii="仿宋_GB2312" w:hAnsi="仿宋_GB2312" w:eastAsia="仿宋_GB2312" w:cs="仿宋_GB2312"/>
          <w:color w:val="auto"/>
          <w:kern w:val="0"/>
          <w:sz w:val="32"/>
          <w:szCs w:val="32"/>
          <w:u w:val="none"/>
          <w:lang w:eastAsia="zh-CN" w:bidi="ar"/>
        </w:rPr>
        <w:t>任何部门和个人不得随意修改、</w:t>
      </w:r>
      <w:r>
        <w:rPr>
          <w:rFonts w:hint="eastAsia" w:ascii="仿宋_GB2312" w:hAnsi="仿宋_GB2312" w:eastAsia="仿宋_GB2312" w:cs="仿宋_GB2312"/>
          <w:color w:val="auto"/>
          <w:kern w:val="0"/>
          <w:sz w:val="32"/>
          <w:szCs w:val="32"/>
          <w:u w:val="none"/>
          <w:lang w:bidi="ar"/>
        </w:rPr>
        <w:t>擅自调整。在国土空间规划实施期内，城镇开发边界可基于五年一次的规划实施评估，按照法定程序经原审批机关同意后进行调整</w:t>
      </w:r>
      <w:r>
        <w:rPr>
          <w:rFonts w:hint="eastAsia" w:ascii="仿宋_GB2312" w:hAnsi="仿宋_GB2312" w:eastAsia="仿宋_GB2312" w:cs="仿宋_GB2312"/>
          <w:color w:val="auto"/>
          <w:kern w:val="0"/>
          <w:sz w:val="32"/>
          <w:szCs w:val="32"/>
          <w:u w:val="none"/>
          <w:lang w:eastAsia="zh-CN" w:bidi="ar"/>
        </w:rPr>
        <w:t>，具体调整程序按照国家后续出台的有关规定执行。</w:t>
      </w:r>
      <w:r>
        <w:rPr>
          <w:rFonts w:hint="eastAsia" w:ascii="仿宋_GB2312" w:hAnsi="仿宋_GB2312" w:eastAsia="仿宋_GB2312" w:cs="仿宋_GB2312"/>
          <w:color w:val="auto"/>
          <w:kern w:val="0"/>
          <w:sz w:val="32"/>
          <w:szCs w:val="32"/>
          <w:u w:val="none"/>
          <w:lang w:val="en-US" w:eastAsia="zh-CN" w:bidi="ar"/>
        </w:rPr>
        <w:t xml:space="preserve">   </w:t>
      </w:r>
    </w:p>
    <w:p w14:paraId="1460BB2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lang w:eastAsia="zh-CN"/>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八</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在严格落实耕地保护优先序，确保城镇建设用地规模和城镇开发边界扩展倍数不突破的前提下，可对城镇开发边界进行局部优化。</w:t>
      </w:r>
      <w:r>
        <w:rPr>
          <w:rFonts w:hint="eastAsia" w:ascii="仿宋_GB2312" w:eastAsia="仿宋_GB2312"/>
          <w:color w:val="auto"/>
          <w:sz w:val="32"/>
          <w:szCs w:val="32"/>
        </w:rPr>
        <w:t>市</w:t>
      </w:r>
      <w:r>
        <w:rPr>
          <w:rFonts w:hint="eastAsia" w:ascii="仿宋_GB2312" w:eastAsia="仿宋_GB2312"/>
          <w:color w:val="auto"/>
          <w:sz w:val="32"/>
          <w:szCs w:val="32"/>
          <w:lang w:eastAsia="zh-CN"/>
        </w:rPr>
        <w:t>（地）</w:t>
      </w:r>
      <w:r>
        <w:rPr>
          <w:rFonts w:hint="eastAsia" w:ascii="仿宋_GB2312" w:eastAsia="仿宋_GB2312"/>
          <w:color w:val="auto"/>
          <w:sz w:val="32"/>
          <w:szCs w:val="32"/>
        </w:rPr>
        <w:t>、县</w:t>
      </w:r>
      <w:r>
        <w:rPr>
          <w:rFonts w:hint="eastAsia" w:ascii="仿宋_GB2312" w:eastAsia="仿宋_GB2312"/>
          <w:color w:val="auto"/>
          <w:sz w:val="32"/>
          <w:szCs w:val="32"/>
          <w:lang w:eastAsia="zh-CN"/>
        </w:rPr>
        <w:t>（市、区）</w:t>
      </w:r>
      <w:r>
        <w:rPr>
          <w:rFonts w:hint="eastAsia" w:ascii="仿宋_GB2312" w:eastAsia="仿宋_GB2312"/>
          <w:color w:val="auto"/>
          <w:sz w:val="32"/>
          <w:szCs w:val="32"/>
        </w:rPr>
        <w:t>人民政府</w:t>
      </w:r>
      <w:r>
        <w:rPr>
          <w:rFonts w:hint="eastAsia" w:ascii="仿宋_GB2312" w:eastAsia="仿宋_GB2312"/>
          <w:color w:val="auto"/>
          <w:sz w:val="32"/>
          <w:szCs w:val="32"/>
          <w:lang w:eastAsia="zh-CN"/>
        </w:rPr>
        <w:t>（行署）</w:t>
      </w:r>
      <w:r>
        <w:rPr>
          <w:rFonts w:hint="eastAsia" w:ascii="仿宋_GB2312" w:eastAsia="仿宋_GB2312"/>
          <w:color w:val="auto"/>
          <w:sz w:val="32"/>
          <w:szCs w:val="32"/>
          <w:u w:val="none"/>
        </w:rPr>
        <w:t>是</w:t>
      </w:r>
      <w:r>
        <w:rPr>
          <w:rFonts w:hint="eastAsia" w:ascii="仿宋_GB2312" w:eastAsia="仿宋_GB2312"/>
          <w:color w:val="auto"/>
          <w:sz w:val="32"/>
          <w:szCs w:val="32"/>
          <w:u w:val="none"/>
          <w:lang w:eastAsia="zh-CN"/>
        </w:rPr>
        <w:t>城镇开发边界</w:t>
      </w:r>
      <w:r>
        <w:rPr>
          <w:rFonts w:hint="eastAsia" w:ascii="仿宋_GB2312" w:eastAsia="仿宋_GB2312"/>
          <w:color w:val="auto"/>
          <w:sz w:val="32"/>
          <w:szCs w:val="32"/>
          <w:u w:val="none"/>
        </w:rPr>
        <w:t>局部优化的责任主体，要对局部优化的真实性、合法性、合规性、合理性负总责，确保优化方案合理合规、举证材料真实准确、数据成果标准规范</w:t>
      </w:r>
      <w:r>
        <w:rPr>
          <w:rFonts w:hint="eastAsia" w:ascii="仿宋_GB2312" w:eastAsia="仿宋_GB2312"/>
          <w:color w:val="auto"/>
          <w:sz w:val="32"/>
          <w:szCs w:val="32"/>
          <w:u w:val="none"/>
          <w:lang w:eastAsia="zh-CN"/>
        </w:rPr>
        <w:t>。</w:t>
      </w:r>
    </w:p>
    <w:p w14:paraId="5AE8EE0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color w:val="auto"/>
          <w:sz w:val="32"/>
          <w:szCs w:val="32"/>
          <w:highlight w:val="yellow"/>
          <w:u w:val="none"/>
        </w:rPr>
      </w:pPr>
      <w:r>
        <w:rPr>
          <w:rFonts w:hint="eastAsia" w:ascii="楷体_GB2312" w:eastAsia="楷体_GB2312"/>
          <w:color w:val="auto"/>
          <w:sz w:val="32"/>
          <w:szCs w:val="32"/>
          <w:u w:val="none"/>
        </w:rPr>
        <w:t>第十</w:t>
      </w:r>
      <w:r>
        <w:rPr>
          <w:rFonts w:hint="eastAsia" w:ascii="楷体_GB2312" w:eastAsia="楷体_GB2312"/>
          <w:color w:val="auto"/>
          <w:sz w:val="32"/>
          <w:szCs w:val="32"/>
          <w:u w:val="none"/>
          <w:lang w:eastAsia="zh-CN"/>
        </w:rPr>
        <w:t>九</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城镇开发边界局部优化应符合以下六种情形，并提供相关证明材料：</w:t>
      </w:r>
    </w:p>
    <w:p w14:paraId="1C0BBCF4">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（一）国家和省重大战略实施、重大政策调整、重大项目建设，以及行政区划调整等涉及城镇布局调整的，应提供</w:t>
      </w:r>
      <w:r>
        <w:rPr>
          <w:rFonts w:hint="eastAsia" w:ascii="仿宋_GB2312" w:eastAsia="仿宋_GB2312"/>
          <w:color w:val="auto"/>
          <w:sz w:val="32"/>
          <w:szCs w:val="32"/>
          <w:u w:val="none"/>
          <w:lang w:eastAsia="zh-CN"/>
        </w:rPr>
        <w:t>省级以上党委、政府及其有关部门发布批准</w:t>
      </w:r>
      <w:r>
        <w:rPr>
          <w:rFonts w:hint="eastAsia" w:ascii="仿宋_GB2312" w:eastAsia="仿宋_GB2312"/>
          <w:color w:val="auto"/>
          <w:sz w:val="32"/>
          <w:szCs w:val="32"/>
          <w:u w:val="none"/>
        </w:rPr>
        <w:t>的相关文件</w:t>
      </w:r>
      <w:r>
        <w:rPr>
          <w:rFonts w:hint="eastAsia" w:ascii="仿宋_GB2312" w:eastAsia="仿宋_GB2312"/>
          <w:color w:val="auto"/>
          <w:sz w:val="32"/>
          <w:szCs w:val="32"/>
          <w:u w:val="none"/>
          <w:lang w:eastAsia="zh-CN"/>
        </w:rPr>
        <w:t>或</w:t>
      </w:r>
      <w:r>
        <w:rPr>
          <w:rFonts w:hint="eastAsia" w:ascii="仿宋_GB2312" w:eastAsia="仿宋_GB2312"/>
          <w:color w:val="auto"/>
          <w:sz w:val="32"/>
          <w:szCs w:val="32"/>
          <w:u w:val="none"/>
        </w:rPr>
        <w:t>规划，省级以上投资主管部门</w:t>
      </w:r>
      <w:r>
        <w:rPr>
          <w:rFonts w:hint="eastAsia" w:ascii="仿宋_GB2312" w:eastAsia="仿宋_GB2312"/>
          <w:color w:val="auto"/>
          <w:sz w:val="32"/>
          <w:szCs w:val="32"/>
          <w:u w:val="none"/>
          <w:lang w:eastAsia="zh-CN"/>
        </w:rPr>
        <w:t>或行业主管部门出具的重大项目证明材料，行政区划调整的批准文件，</w:t>
      </w:r>
      <w:r>
        <w:rPr>
          <w:rFonts w:hint="eastAsia" w:ascii="仿宋_GB2312" w:eastAsia="仿宋_GB2312"/>
          <w:color w:val="auto"/>
          <w:sz w:val="32"/>
          <w:szCs w:val="32"/>
          <w:u w:val="none"/>
        </w:rPr>
        <w:t>其他可以证明符合要求的相关材料。</w:t>
      </w:r>
    </w:p>
    <w:p w14:paraId="6325190E">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（二）因灾害预防、抢险避灾、灾后恢复重建等防灾减灾确需调整城镇布局的，应提供县级以上人民政府或市级以上行业主管部门出具的证明材料。</w:t>
      </w:r>
    </w:p>
    <w:p w14:paraId="1EF22E4D">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（三）</w:t>
      </w:r>
      <w:r>
        <w:rPr>
          <w:rFonts w:hint="eastAsia" w:ascii="仿宋_GB2312" w:eastAsia="仿宋_GB2312"/>
          <w:color w:val="auto"/>
          <w:sz w:val="32"/>
          <w:szCs w:val="32"/>
          <w:u w:val="none"/>
          <w:lang w:eastAsia="zh-CN"/>
        </w:rPr>
        <w:t>因</w:t>
      </w:r>
      <w:r>
        <w:rPr>
          <w:rFonts w:hint="eastAsia" w:ascii="仿宋_GB2312" w:eastAsia="仿宋_GB2312"/>
          <w:color w:val="auto"/>
          <w:sz w:val="32"/>
          <w:szCs w:val="32"/>
          <w:u w:val="none"/>
        </w:rPr>
        <w:t>耕地和永久基本农田核实处置确需统筹优化城镇开发边界的，应提供自然资源部</w:t>
      </w:r>
      <w:r>
        <w:rPr>
          <w:rFonts w:hint="eastAsia" w:ascii="仿宋_GB2312" w:eastAsia="仿宋_GB2312"/>
          <w:color w:val="auto"/>
          <w:sz w:val="32"/>
          <w:szCs w:val="32"/>
          <w:u w:val="none"/>
          <w:lang w:eastAsia="zh-CN"/>
        </w:rPr>
        <w:t>关于</w:t>
      </w:r>
      <w:r>
        <w:rPr>
          <w:rFonts w:hint="eastAsia" w:ascii="仿宋_GB2312" w:eastAsia="仿宋_GB2312"/>
          <w:color w:val="auto"/>
          <w:sz w:val="32"/>
          <w:szCs w:val="32"/>
          <w:u w:val="none"/>
        </w:rPr>
        <w:t>耕地和永久基本农田核实处置</w:t>
      </w:r>
      <w:r>
        <w:rPr>
          <w:rFonts w:hint="eastAsia" w:ascii="仿宋_GB2312" w:eastAsia="仿宋_GB2312"/>
          <w:color w:val="auto"/>
          <w:sz w:val="32"/>
          <w:szCs w:val="32"/>
          <w:u w:val="none"/>
          <w:lang w:eastAsia="zh-CN"/>
        </w:rPr>
        <w:t>结果的确认</w:t>
      </w:r>
      <w:r>
        <w:rPr>
          <w:rFonts w:hint="eastAsia" w:ascii="仿宋_GB2312" w:eastAsia="仿宋_GB2312"/>
          <w:color w:val="auto"/>
          <w:sz w:val="32"/>
          <w:szCs w:val="32"/>
          <w:u w:val="none"/>
        </w:rPr>
        <w:t>文件。</w:t>
      </w:r>
    </w:p>
    <w:p w14:paraId="08B7742D">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（四）已依法依规批准且完成备案的建设用地，已办理划拨或出让手续，已核发建设用地使用权权属证书，确需纳入城镇开发边界的，应提供相关的农用地转建设用地</w:t>
      </w:r>
      <w:r>
        <w:rPr>
          <w:rFonts w:hint="eastAsia" w:ascii="仿宋_GB2312" w:eastAsia="仿宋_GB2312"/>
          <w:color w:val="auto"/>
          <w:sz w:val="32"/>
          <w:szCs w:val="32"/>
          <w:u w:val="none"/>
          <w:lang w:eastAsia="zh-CN"/>
        </w:rPr>
        <w:t>批准</w:t>
      </w:r>
      <w:r>
        <w:rPr>
          <w:rFonts w:hint="eastAsia" w:ascii="仿宋_GB2312" w:eastAsia="仿宋_GB2312"/>
          <w:color w:val="auto"/>
          <w:sz w:val="32"/>
          <w:szCs w:val="32"/>
          <w:u w:val="none"/>
        </w:rPr>
        <w:t>文件、划拨决定书或土地出让合同、不动产权属证书，其他可以证明符合要求的相关材料。</w:t>
      </w:r>
    </w:p>
    <w:p w14:paraId="66FBF6EF">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（五）已批准实施全域土地综合整治确需优化调整城镇开发边界的，应提供全域土地综合整治</w:t>
      </w:r>
      <w:r>
        <w:rPr>
          <w:rFonts w:hint="eastAsia" w:ascii="仿宋_GB2312" w:eastAsia="仿宋_GB2312"/>
          <w:color w:val="auto"/>
          <w:sz w:val="32"/>
          <w:szCs w:val="32"/>
          <w:u w:val="none"/>
          <w:lang w:eastAsia="zh-CN"/>
        </w:rPr>
        <w:t>项目的批准文件</w:t>
      </w:r>
      <w:r>
        <w:rPr>
          <w:rFonts w:hint="eastAsia" w:ascii="仿宋_GB2312" w:eastAsia="仿宋_GB2312"/>
          <w:color w:val="auto"/>
          <w:sz w:val="32"/>
          <w:szCs w:val="32"/>
          <w:u w:val="none"/>
        </w:rPr>
        <w:t>。</w:t>
      </w:r>
    </w:p>
    <w:p w14:paraId="5D03496D">
      <w:pPr>
        <w:keepNext w:val="0"/>
        <w:keepLines w:val="0"/>
        <w:pageBreakBefore w:val="0"/>
        <w:kinsoku/>
        <w:wordWrap/>
        <w:overflowPunct/>
        <w:topLinePunct w:val="0"/>
        <w:autoSpaceDE/>
        <w:autoSpaceDN/>
        <w:bidi w:val="0"/>
        <w:spacing w:line="57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（六）规划深化实施中因用地勘界、比例尺衔接等需要局部优化城镇开发边界的，应提供相关</w:t>
      </w:r>
      <w:r>
        <w:rPr>
          <w:rFonts w:hint="eastAsia" w:ascii="仿宋_GB2312" w:eastAsia="仿宋_GB2312"/>
          <w:color w:val="auto"/>
          <w:sz w:val="32"/>
          <w:szCs w:val="32"/>
          <w:u w:val="none"/>
          <w:lang w:eastAsia="zh-CN"/>
        </w:rPr>
        <w:t>证明</w:t>
      </w:r>
      <w:r>
        <w:rPr>
          <w:rFonts w:hint="eastAsia" w:ascii="仿宋_GB2312" w:eastAsia="仿宋_GB2312"/>
          <w:color w:val="auto"/>
          <w:sz w:val="32"/>
          <w:szCs w:val="32"/>
          <w:u w:val="none"/>
        </w:rPr>
        <w:t>材料。</w:t>
      </w:r>
    </w:p>
    <w:p w14:paraId="690B92B3">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w:t>
      </w:r>
      <w:r>
        <w:rPr>
          <w:rFonts w:hint="eastAsia" w:ascii="楷体_GB2312" w:eastAsia="楷体_GB2312"/>
          <w:color w:val="auto"/>
          <w:sz w:val="32"/>
          <w:szCs w:val="32"/>
          <w:u w:val="none"/>
          <w:lang w:eastAsia="zh-CN"/>
        </w:rPr>
        <w:t>二十</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确需对</w:t>
      </w:r>
      <w:r>
        <w:rPr>
          <w:rFonts w:hint="eastAsia" w:ascii="仿宋_GB2312" w:eastAsia="仿宋_GB2312" w:cs="仿宋_GB2312"/>
          <w:color w:val="auto"/>
          <w:sz w:val="32"/>
          <w:szCs w:val="32"/>
          <w:u w:val="none"/>
          <w:shd w:val="clear" w:color="auto" w:fill="FFFFFF"/>
        </w:rPr>
        <w:t>城镇开发边界进行</w:t>
      </w:r>
      <w:r>
        <w:rPr>
          <w:rFonts w:hint="eastAsia" w:ascii="仿宋_GB2312" w:eastAsia="仿宋_GB2312"/>
          <w:color w:val="auto"/>
          <w:sz w:val="32"/>
          <w:szCs w:val="32"/>
          <w:u w:val="none"/>
        </w:rPr>
        <w:t>局部优化的，按以下程序开展：</w:t>
      </w:r>
    </w:p>
    <w:p w14:paraId="0C74FA0C">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（一）</w:t>
      </w:r>
      <w:r>
        <w:rPr>
          <w:rFonts w:hint="eastAsia" w:ascii="仿宋_GB2312" w:eastAsia="仿宋_GB2312" w:cs="仿宋_GB2312"/>
          <w:color w:val="auto"/>
          <w:sz w:val="32"/>
          <w:szCs w:val="32"/>
          <w:lang w:eastAsia="zh-CN"/>
        </w:rPr>
        <w:t>对</w:t>
      </w:r>
      <w:r>
        <w:rPr>
          <w:rFonts w:hint="eastAsia" w:ascii="仿宋_GB2312" w:eastAsia="仿宋_GB2312" w:cs="仿宋_GB2312"/>
          <w:color w:val="auto"/>
          <w:sz w:val="32"/>
          <w:szCs w:val="32"/>
        </w:rPr>
        <w:t>县</w:t>
      </w:r>
      <w:r>
        <w:rPr>
          <w:rFonts w:hint="eastAsia" w:ascii="仿宋_GB2312" w:eastAsia="仿宋_GB2312" w:cs="仿宋_GB2312"/>
          <w:color w:val="auto"/>
          <w:sz w:val="32"/>
          <w:szCs w:val="32"/>
          <w:lang w:eastAsia="zh-CN"/>
        </w:rPr>
        <w:t>（市、区）</w:t>
      </w:r>
      <w:r>
        <w:rPr>
          <w:rFonts w:hint="eastAsia" w:ascii="仿宋_GB2312" w:eastAsia="仿宋_GB2312" w:cs="仿宋_GB2312"/>
          <w:color w:val="auto"/>
          <w:sz w:val="32"/>
          <w:szCs w:val="32"/>
        </w:rPr>
        <w:t>国土空间总体规划</w:t>
      </w:r>
      <w:r>
        <w:rPr>
          <w:rFonts w:hint="eastAsia" w:ascii="仿宋_GB2312" w:eastAsia="仿宋_GB2312" w:cs="仿宋_GB2312"/>
          <w:color w:val="auto"/>
          <w:sz w:val="32"/>
          <w:szCs w:val="32"/>
          <w:lang w:eastAsia="zh-CN"/>
        </w:rPr>
        <w:t>中</w:t>
      </w:r>
      <w:r>
        <w:rPr>
          <w:rFonts w:hint="eastAsia" w:ascii="仿宋_GB2312" w:eastAsia="仿宋_GB2312" w:cs="仿宋_GB2312"/>
          <w:color w:val="auto"/>
          <w:sz w:val="32"/>
          <w:szCs w:val="32"/>
        </w:rPr>
        <w:t>城镇开发边界</w:t>
      </w:r>
      <w:r>
        <w:rPr>
          <w:rFonts w:hint="eastAsia" w:ascii="仿宋_GB2312" w:eastAsia="仿宋_GB2312" w:cs="仿宋_GB2312"/>
          <w:color w:val="auto"/>
          <w:sz w:val="32"/>
          <w:szCs w:val="32"/>
          <w:lang w:eastAsia="zh-CN"/>
        </w:rPr>
        <w:t>进行</w:t>
      </w:r>
      <w:r>
        <w:rPr>
          <w:rFonts w:hint="eastAsia" w:ascii="仿宋_GB2312" w:eastAsia="仿宋_GB2312" w:cs="仿宋_GB2312"/>
          <w:color w:val="auto"/>
          <w:sz w:val="32"/>
          <w:szCs w:val="32"/>
        </w:rPr>
        <w:t>局部优化的，由县</w:t>
      </w:r>
      <w:r>
        <w:rPr>
          <w:rFonts w:hint="eastAsia" w:ascii="仿宋_GB2312" w:eastAsia="仿宋_GB2312" w:cs="仿宋_GB2312"/>
          <w:color w:val="auto"/>
          <w:sz w:val="32"/>
          <w:szCs w:val="32"/>
          <w:lang w:eastAsia="zh-CN"/>
        </w:rPr>
        <w:t>（市、区）</w:t>
      </w:r>
      <w:r>
        <w:rPr>
          <w:rFonts w:hint="eastAsia" w:ascii="仿宋_GB2312" w:eastAsia="仿宋_GB2312" w:cs="仿宋_GB2312"/>
          <w:color w:val="auto"/>
          <w:sz w:val="32"/>
          <w:szCs w:val="32"/>
        </w:rPr>
        <w:t>自然资源</w:t>
      </w:r>
      <w:r>
        <w:rPr>
          <w:rFonts w:hint="eastAsia" w:ascii="仿宋_GB2312" w:eastAsia="仿宋_GB2312" w:cs="仿宋_GB2312"/>
          <w:color w:val="auto"/>
          <w:sz w:val="32"/>
          <w:szCs w:val="32"/>
          <w:lang w:eastAsia="zh-CN"/>
        </w:rPr>
        <w:t>行政</w:t>
      </w:r>
      <w:r>
        <w:rPr>
          <w:rFonts w:hint="eastAsia" w:ascii="仿宋_GB2312" w:eastAsia="仿宋_GB2312" w:cs="仿宋_GB2312"/>
          <w:color w:val="auto"/>
          <w:sz w:val="32"/>
          <w:szCs w:val="32"/>
        </w:rPr>
        <w:t>主管部门组织编制城镇开发边界局部优化方案，征求同级相关行业主管部门</w:t>
      </w:r>
      <w:r>
        <w:rPr>
          <w:rFonts w:hint="eastAsia" w:ascii="仿宋_GB2312" w:eastAsia="仿宋_GB2312" w:cs="仿宋_GB2312"/>
          <w:color w:val="auto"/>
          <w:sz w:val="32"/>
          <w:szCs w:val="32"/>
          <w:lang w:eastAsia="zh-CN"/>
        </w:rPr>
        <w:t>和乡（镇）人民政府</w:t>
      </w:r>
      <w:r>
        <w:rPr>
          <w:rFonts w:hint="eastAsia" w:ascii="仿宋_GB2312" w:eastAsia="仿宋_GB2312" w:cs="仿宋_GB2312"/>
          <w:color w:val="auto"/>
          <w:sz w:val="32"/>
          <w:szCs w:val="32"/>
        </w:rPr>
        <w:t>意见，</w:t>
      </w:r>
      <w:r>
        <w:rPr>
          <w:rFonts w:hint="eastAsia" w:ascii="仿宋_GB2312" w:eastAsia="仿宋_GB2312" w:cs="仿宋_GB2312"/>
          <w:color w:val="auto"/>
          <w:sz w:val="32"/>
          <w:szCs w:val="32"/>
          <w:lang w:eastAsia="zh-CN"/>
        </w:rPr>
        <w:t>履行</w:t>
      </w:r>
      <w:r>
        <w:rPr>
          <w:rFonts w:hint="eastAsia" w:ascii="仿宋_GB2312" w:eastAsia="仿宋_GB2312" w:cs="仿宋_GB2312"/>
          <w:color w:val="auto"/>
          <w:sz w:val="32"/>
          <w:szCs w:val="32"/>
        </w:rPr>
        <w:t>论证</w:t>
      </w:r>
      <w:r>
        <w:rPr>
          <w:rFonts w:hint="eastAsia" w:ascii="仿宋_GB2312" w:eastAsia="仿宋_GB2312" w:cs="仿宋_GB2312"/>
          <w:color w:val="auto"/>
          <w:sz w:val="32"/>
          <w:szCs w:val="32"/>
          <w:lang w:eastAsia="zh-CN"/>
        </w:rPr>
        <w:t>、公示程序后，</w:t>
      </w:r>
      <w:r>
        <w:rPr>
          <w:rFonts w:hint="eastAsia" w:ascii="仿宋_GB2312" w:eastAsia="仿宋_GB2312" w:cs="仿宋_GB2312"/>
          <w:color w:val="auto"/>
          <w:sz w:val="32"/>
          <w:szCs w:val="32"/>
        </w:rPr>
        <w:t>由县</w:t>
      </w:r>
      <w:r>
        <w:rPr>
          <w:rFonts w:hint="eastAsia" w:ascii="仿宋_GB2312" w:eastAsia="仿宋_GB2312" w:cs="仿宋_GB2312"/>
          <w:color w:val="auto"/>
          <w:sz w:val="32"/>
          <w:szCs w:val="32"/>
          <w:lang w:eastAsia="zh-CN"/>
        </w:rPr>
        <w:t>（市、区）</w:t>
      </w:r>
      <w:r>
        <w:rPr>
          <w:rFonts w:hint="eastAsia" w:ascii="仿宋_GB2312" w:eastAsia="仿宋_GB2312" w:cs="仿宋_GB2312"/>
          <w:color w:val="auto"/>
          <w:sz w:val="32"/>
          <w:szCs w:val="32"/>
        </w:rPr>
        <w:t>人民政府报市</w:t>
      </w:r>
      <w:r>
        <w:rPr>
          <w:rFonts w:hint="eastAsia" w:ascii="仿宋_GB2312" w:eastAsia="仿宋_GB2312" w:cs="仿宋_GB2312"/>
          <w:color w:val="auto"/>
          <w:sz w:val="32"/>
          <w:szCs w:val="32"/>
          <w:lang w:eastAsia="zh-CN"/>
        </w:rPr>
        <w:t>（地）</w:t>
      </w:r>
      <w:r>
        <w:rPr>
          <w:rFonts w:hint="eastAsia" w:ascii="仿宋_GB2312" w:eastAsia="仿宋_GB2312" w:cs="仿宋_GB2312"/>
          <w:color w:val="auto"/>
          <w:sz w:val="32"/>
          <w:szCs w:val="32"/>
        </w:rPr>
        <w:t>人民政府</w:t>
      </w:r>
      <w:r>
        <w:rPr>
          <w:rFonts w:hint="eastAsia" w:ascii="仿宋_GB2312" w:eastAsia="仿宋_GB2312" w:cs="仿宋_GB2312"/>
          <w:color w:val="auto"/>
          <w:sz w:val="32"/>
          <w:szCs w:val="32"/>
          <w:lang w:eastAsia="zh-CN"/>
        </w:rPr>
        <w:t>（行署）</w:t>
      </w:r>
      <w:r>
        <w:rPr>
          <w:rFonts w:hint="eastAsia" w:ascii="仿宋_GB2312" w:eastAsia="仿宋_GB2312" w:cs="仿宋_GB2312"/>
          <w:color w:val="auto"/>
          <w:sz w:val="32"/>
          <w:szCs w:val="32"/>
        </w:rPr>
        <w:t>。经市</w:t>
      </w:r>
      <w:r>
        <w:rPr>
          <w:rFonts w:hint="eastAsia" w:ascii="仿宋_GB2312" w:eastAsia="仿宋_GB2312" w:cs="仿宋_GB2312"/>
          <w:color w:val="auto"/>
          <w:sz w:val="32"/>
          <w:szCs w:val="32"/>
          <w:lang w:eastAsia="zh-CN"/>
        </w:rPr>
        <w:t>（地）</w:t>
      </w:r>
      <w:r>
        <w:rPr>
          <w:rFonts w:hint="eastAsia" w:ascii="仿宋_GB2312" w:eastAsia="仿宋_GB2312" w:cs="仿宋_GB2312"/>
          <w:color w:val="auto"/>
          <w:sz w:val="32"/>
          <w:szCs w:val="32"/>
        </w:rPr>
        <w:t>自然资源</w:t>
      </w:r>
      <w:r>
        <w:rPr>
          <w:rFonts w:hint="eastAsia" w:ascii="仿宋_GB2312" w:eastAsia="仿宋_GB2312" w:cs="仿宋_GB2312"/>
          <w:color w:val="auto"/>
          <w:sz w:val="32"/>
          <w:szCs w:val="32"/>
          <w:lang w:eastAsia="zh-CN"/>
        </w:rPr>
        <w:t>行政</w:t>
      </w:r>
      <w:r>
        <w:rPr>
          <w:rFonts w:hint="eastAsia" w:ascii="仿宋_GB2312" w:eastAsia="仿宋_GB2312" w:cs="仿宋_GB2312"/>
          <w:color w:val="auto"/>
          <w:sz w:val="32"/>
          <w:szCs w:val="32"/>
        </w:rPr>
        <w:t>主管部门初审通过后，由市</w:t>
      </w:r>
      <w:r>
        <w:rPr>
          <w:rFonts w:hint="eastAsia" w:ascii="仿宋_GB2312" w:eastAsia="仿宋_GB2312" w:cs="仿宋_GB2312"/>
          <w:color w:val="auto"/>
          <w:sz w:val="32"/>
          <w:szCs w:val="32"/>
          <w:lang w:eastAsia="zh-CN"/>
        </w:rPr>
        <w:t>（地）</w:t>
      </w:r>
      <w:r>
        <w:rPr>
          <w:rFonts w:hint="eastAsia" w:ascii="仿宋_GB2312" w:eastAsia="仿宋_GB2312" w:cs="仿宋_GB2312"/>
          <w:color w:val="auto"/>
          <w:sz w:val="32"/>
          <w:szCs w:val="32"/>
        </w:rPr>
        <w:t>人民政府</w:t>
      </w:r>
      <w:r>
        <w:rPr>
          <w:rFonts w:hint="eastAsia" w:ascii="仿宋_GB2312" w:eastAsia="仿宋_GB2312" w:cs="仿宋_GB2312"/>
          <w:color w:val="auto"/>
          <w:sz w:val="32"/>
          <w:szCs w:val="32"/>
          <w:lang w:eastAsia="zh-CN"/>
        </w:rPr>
        <w:t>（行署）</w:t>
      </w:r>
      <w:r>
        <w:rPr>
          <w:rFonts w:hint="eastAsia" w:ascii="仿宋_GB2312" w:eastAsia="仿宋_GB2312" w:cs="仿宋_GB2312"/>
          <w:color w:val="auto"/>
          <w:sz w:val="32"/>
          <w:szCs w:val="32"/>
        </w:rPr>
        <w:t>报省自然资源厅审查论证。</w:t>
      </w:r>
    </w:p>
    <w:p w14:paraId="32C3BDF6">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rPr>
        <w:t>（二）</w:t>
      </w:r>
      <w:r>
        <w:rPr>
          <w:rFonts w:hint="eastAsia" w:ascii="仿宋_GB2312" w:eastAsia="仿宋_GB2312" w:cs="仿宋_GB2312"/>
          <w:color w:val="auto"/>
          <w:sz w:val="32"/>
          <w:szCs w:val="32"/>
          <w:lang w:eastAsia="zh-CN"/>
        </w:rPr>
        <w:t>对</w:t>
      </w:r>
      <w:r>
        <w:rPr>
          <w:rFonts w:hint="eastAsia" w:ascii="仿宋_GB2312" w:eastAsia="仿宋_GB2312" w:cs="仿宋_GB2312"/>
          <w:color w:val="auto"/>
          <w:sz w:val="32"/>
          <w:szCs w:val="32"/>
        </w:rPr>
        <w:t>市</w:t>
      </w:r>
      <w:r>
        <w:rPr>
          <w:rFonts w:hint="eastAsia" w:ascii="仿宋_GB2312" w:eastAsia="仿宋_GB2312" w:cs="仿宋_GB2312"/>
          <w:color w:val="auto"/>
          <w:sz w:val="32"/>
          <w:szCs w:val="32"/>
          <w:lang w:eastAsia="zh-CN"/>
        </w:rPr>
        <w:t>（地）</w:t>
      </w:r>
      <w:r>
        <w:rPr>
          <w:rFonts w:hint="eastAsia" w:ascii="仿宋_GB2312" w:eastAsia="仿宋_GB2312" w:cs="仿宋_GB2312"/>
          <w:color w:val="auto"/>
          <w:sz w:val="32"/>
          <w:szCs w:val="32"/>
        </w:rPr>
        <w:t>国土空间总体规划</w:t>
      </w:r>
      <w:r>
        <w:rPr>
          <w:rFonts w:hint="eastAsia" w:ascii="仿宋_GB2312" w:eastAsia="仿宋_GB2312" w:cs="仿宋_GB2312"/>
          <w:color w:val="auto"/>
          <w:sz w:val="32"/>
          <w:szCs w:val="32"/>
          <w:lang w:eastAsia="zh-CN"/>
        </w:rPr>
        <w:t>中</w:t>
      </w:r>
      <w:r>
        <w:rPr>
          <w:rFonts w:hint="eastAsia" w:ascii="仿宋_GB2312" w:eastAsia="仿宋_GB2312" w:cs="仿宋_GB2312"/>
          <w:color w:val="auto"/>
          <w:sz w:val="32"/>
          <w:szCs w:val="32"/>
        </w:rPr>
        <w:t>城镇开发边界</w:t>
      </w:r>
      <w:r>
        <w:rPr>
          <w:rFonts w:hint="eastAsia" w:ascii="仿宋_GB2312" w:eastAsia="仿宋_GB2312" w:cs="仿宋_GB2312"/>
          <w:color w:val="auto"/>
          <w:sz w:val="32"/>
          <w:szCs w:val="32"/>
          <w:lang w:eastAsia="zh-CN"/>
        </w:rPr>
        <w:t>进行</w:t>
      </w:r>
      <w:r>
        <w:rPr>
          <w:rFonts w:hint="eastAsia" w:ascii="仿宋_GB2312" w:eastAsia="仿宋_GB2312" w:cs="仿宋_GB2312"/>
          <w:color w:val="auto"/>
          <w:sz w:val="32"/>
          <w:szCs w:val="32"/>
        </w:rPr>
        <w:t>局部优化的，由市</w:t>
      </w:r>
      <w:r>
        <w:rPr>
          <w:rFonts w:hint="eastAsia" w:ascii="仿宋_GB2312" w:eastAsia="仿宋_GB2312" w:cs="仿宋_GB2312"/>
          <w:color w:val="auto"/>
          <w:sz w:val="32"/>
          <w:szCs w:val="32"/>
          <w:lang w:eastAsia="zh-CN"/>
        </w:rPr>
        <w:t>（地）</w:t>
      </w:r>
      <w:r>
        <w:rPr>
          <w:rFonts w:hint="eastAsia" w:ascii="仿宋_GB2312" w:eastAsia="仿宋_GB2312" w:cs="仿宋_GB2312"/>
          <w:color w:val="auto"/>
          <w:sz w:val="32"/>
          <w:szCs w:val="32"/>
        </w:rPr>
        <w:t>自然资源</w:t>
      </w:r>
      <w:r>
        <w:rPr>
          <w:rFonts w:hint="eastAsia" w:ascii="仿宋_GB2312" w:eastAsia="仿宋_GB2312" w:cs="仿宋_GB2312"/>
          <w:color w:val="auto"/>
          <w:sz w:val="32"/>
          <w:szCs w:val="32"/>
          <w:lang w:eastAsia="zh-CN"/>
        </w:rPr>
        <w:t>行政</w:t>
      </w:r>
      <w:r>
        <w:rPr>
          <w:rFonts w:hint="eastAsia" w:ascii="仿宋_GB2312" w:eastAsia="仿宋_GB2312" w:cs="仿宋_GB2312"/>
          <w:color w:val="auto"/>
          <w:sz w:val="32"/>
          <w:szCs w:val="32"/>
        </w:rPr>
        <w:t>主管部门组织编制城镇开发边界局部优化方案，征求同级相关行业主管部门</w:t>
      </w:r>
      <w:r>
        <w:rPr>
          <w:rFonts w:hint="eastAsia" w:ascii="仿宋_GB2312" w:eastAsia="仿宋_GB2312" w:cs="仿宋_GB2312"/>
          <w:color w:val="auto"/>
          <w:sz w:val="32"/>
          <w:szCs w:val="32"/>
          <w:lang w:eastAsia="zh-CN"/>
        </w:rPr>
        <w:t>和区人民政府</w:t>
      </w:r>
      <w:r>
        <w:rPr>
          <w:rFonts w:hint="eastAsia" w:ascii="仿宋_GB2312" w:eastAsia="仿宋_GB2312" w:cs="仿宋_GB2312"/>
          <w:color w:val="auto"/>
          <w:sz w:val="32"/>
          <w:szCs w:val="32"/>
        </w:rPr>
        <w:t>意见，</w:t>
      </w:r>
      <w:r>
        <w:rPr>
          <w:rFonts w:hint="eastAsia" w:ascii="仿宋_GB2312" w:eastAsia="仿宋_GB2312" w:cs="仿宋_GB2312"/>
          <w:color w:val="auto"/>
          <w:sz w:val="32"/>
          <w:szCs w:val="32"/>
          <w:lang w:eastAsia="zh-CN"/>
        </w:rPr>
        <w:t>履行</w:t>
      </w:r>
      <w:r>
        <w:rPr>
          <w:rFonts w:hint="eastAsia" w:ascii="仿宋_GB2312" w:eastAsia="仿宋_GB2312" w:cs="仿宋_GB2312"/>
          <w:color w:val="auto"/>
          <w:sz w:val="32"/>
          <w:szCs w:val="32"/>
        </w:rPr>
        <w:t>论证</w:t>
      </w:r>
      <w:r>
        <w:rPr>
          <w:rFonts w:hint="eastAsia" w:ascii="仿宋_GB2312" w:eastAsia="仿宋_GB2312" w:cs="仿宋_GB2312"/>
          <w:color w:val="auto"/>
          <w:sz w:val="32"/>
          <w:szCs w:val="32"/>
          <w:lang w:eastAsia="zh-CN"/>
        </w:rPr>
        <w:t>、公示程序后，</w:t>
      </w:r>
      <w:r>
        <w:rPr>
          <w:rFonts w:hint="eastAsia" w:ascii="仿宋_GB2312" w:eastAsia="仿宋_GB2312" w:cs="仿宋_GB2312"/>
          <w:color w:val="auto"/>
          <w:sz w:val="32"/>
          <w:szCs w:val="32"/>
        </w:rPr>
        <w:t>由市</w:t>
      </w:r>
      <w:r>
        <w:rPr>
          <w:rFonts w:hint="eastAsia" w:ascii="仿宋_GB2312" w:eastAsia="仿宋_GB2312" w:cs="仿宋_GB2312"/>
          <w:color w:val="auto"/>
          <w:sz w:val="32"/>
          <w:szCs w:val="32"/>
          <w:lang w:eastAsia="zh-CN"/>
        </w:rPr>
        <w:t>（地）</w:t>
      </w:r>
      <w:r>
        <w:rPr>
          <w:rFonts w:hint="eastAsia" w:ascii="仿宋_GB2312" w:eastAsia="仿宋_GB2312" w:cs="仿宋_GB2312"/>
          <w:color w:val="auto"/>
          <w:sz w:val="32"/>
          <w:szCs w:val="32"/>
        </w:rPr>
        <w:t>人民政府</w:t>
      </w:r>
      <w:r>
        <w:rPr>
          <w:rFonts w:hint="eastAsia" w:ascii="仿宋_GB2312" w:eastAsia="仿宋_GB2312" w:cs="仿宋_GB2312"/>
          <w:color w:val="auto"/>
          <w:sz w:val="32"/>
          <w:szCs w:val="32"/>
          <w:lang w:eastAsia="zh-CN"/>
        </w:rPr>
        <w:t>（行署）</w:t>
      </w:r>
      <w:r>
        <w:rPr>
          <w:rFonts w:hint="eastAsia" w:ascii="仿宋_GB2312" w:eastAsia="仿宋_GB2312" w:cs="仿宋_GB2312"/>
          <w:color w:val="auto"/>
          <w:sz w:val="32"/>
          <w:szCs w:val="32"/>
        </w:rPr>
        <w:t>报省自然资源厅审查论证。</w:t>
      </w:r>
    </w:p>
    <w:p w14:paraId="30B1BD8E">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（三）省自然资源厅组织对市</w:t>
      </w:r>
      <w:r>
        <w:rPr>
          <w:rFonts w:hint="eastAsia" w:ascii="仿宋_GB2312" w:eastAsia="仿宋_GB2312"/>
          <w:color w:val="auto"/>
          <w:sz w:val="32"/>
          <w:szCs w:val="32"/>
          <w:u w:val="none"/>
          <w:lang w:eastAsia="zh-CN"/>
        </w:rPr>
        <w:t>（地）</w:t>
      </w:r>
      <w:r>
        <w:rPr>
          <w:rFonts w:hint="eastAsia" w:ascii="仿宋_GB2312" w:eastAsia="仿宋_GB2312"/>
          <w:color w:val="auto"/>
          <w:sz w:val="32"/>
          <w:szCs w:val="32"/>
          <w:u w:val="none"/>
        </w:rPr>
        <w:t>、县</w:t>
      </w:r>
      <w:r>
        <w:rPr>
          <w:rFonts w:hint="eastAsia" w:ascii="仿宋_GB2312" w:eastAsia="仿宋_GB2312"/>
          <w:color w:val="auto"/>
          <w:sz w:val="32"/>
          <w:szCs w:val="32"/>
          <w:u w:val="none"/>
          <w:lang w:eastAsia="zh-CN"/>
        </w:rPr>
        <w:t>（市、区）</w:t>
      </w:r>
      <w:r>
        <w:rPr>
          <w:rFonts w:hint="eastAsia" w:ascii="仿宋_GB2312" w:eastAsia="仿宋_GB2312"/>
          <w:color w:val="auto"/>
          <w:sz w:val="32"/>
          <w:szCs w:val="32"/>
          <w:u w:val="none"/>
        </w:rPr>
        <w:t>城镇开发边界局部优化方案的合规性、合理性进行审查，组织开展专家评审论证，审查论证通过后报自然资源部汇交更新城镇开发边界管理成果数据。</w:t>
      </w:r>
    </w:p>
    <w:p w14:paraId="53D398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（四）自然资源部对市</w:t>
      </w:r>
      <w:r>
        <w:rPr>
          <w:rFonts w:hint="eastAsia" w:ascii="仿宋_GB2312" w:eastAsia="仿宋_GB2312"/>
          <w:color w:val="auto"/>
          <w:sz w:val="32"/>
          <w:szCs w:val="32"/>
          <w:u w:val="none"/>
          <w:lang w:eastAsia="zh-CN"/>
        </w:rPr>
        <w:t>（地）</w:t>
      </w:r>
      <w:r>
        <w:rPr>
          <w:rFonts w:hint="eastAsia" w:ascii="仿宋_GB2312" w:eastAsia="仿宋_GB2312"/>
          <w:color w:val="auto"/>
          <w:sz w:val="32"/>
          <w:szCs w:val="32"/>
          <w:u w:val="none"/>
        </w:rPr>
        <w:t>、县</w:t>
      </w:r>
      <w:r>
        <w:rPr>
          <w:rFonts w:hint="eastAsia" w:ascii="仿宋_GB2312" w:eastAsia="仿宋_GB2312"/>
          <w:color w:val="auto"/>
          <w:sz w:val="32"/>
          <w:szCs w:val="32"/>
          <w:u w:val="none"/>
          <w:lang w:eastAsia="zh-CN"/>
        </w:rPr>
        <w:t>（市、区）</w:t>
      </w:r>
      <w:r>
        <w:rPr>
          <w:rFonts w:hint="eastAsia" w:ascii="仿宋_GB2312" w:eastAsia="仿宋_GB2312"/>
          <w:color w:val="auto"/>
          <w:sz w:val="32"/>
          <w:szCs w:val="32"/>
          <w:u w:val="none"/>
        </w:rPr>
        <w:t>城镇开发边界局部优化成果进行检查检验</w:t>
      </w:r>
      <w:r>
        <w:rPr>
          <w:rFonts w:hint="eastAsia" w:ascii="仿宋_GB2312" w:eastAsia="仿宋_GB2312"/>
          <w:color w:val="auto"/>
          <w:sz w:val="32"/>
          <w:szCs w:val="32"/>
          <w:u w:val="none"/>
          <w:lang w:eastAsia="zh-CN"/>
        </w:rPr>
        <w:t>合格</w:t>
      </w:r>
      <w:r>
        <w:rPr>
          <w:rFonts w:hint="eastAsia" w:ascii="仿宋_GB2312" w:eastAsia="仿宋_GB2312"/>
          <w:color w:val="auto"/>
          <w:sz w:val="32"/>
          <w:szCs w:val="32"/>
          <w:u w:val="none"/>
        </w:rPr>
        <w:t>后，更新城镇开发边界数据库并反馈省自然资源厅，省自然资源厅</w:t>
      </w:r>
      <w:r>
        <w:rPr>
          <w:rFonts w:hint="eastAsia" w:ascii="仿宋_GB2312" w:eastAsia="仿宋_GB2312"/>
          <w:color w:val="auto"/>
          <w:sz w:val="32"/>
          <w:szCs w:val="32"/>
        </w:rPr>
        <w:t>反馈至</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（地）</w:t>
      </w:r>
      <w:r>
        <w:rPr>
          <w:rFonts w:hint="eastAsia" w:ascii="仿宋_GB2312" w:eastAsia="仿宋_GB2312"/>
          <w:color w:val="auto"/>
          <w:sz w:val="32"/>
          <w:szCs w:val="32"/>
          <w:u w:val="none"/>
        </w:rPr>
        <w:t>、县</w:t>
      </w:r>
      <w:r>
        <w:rPr>
          <w:rFonts w:hint="eastAsia" w:ascii="仿宋_GB2312" w:eastAsia="仿宋_GB2312"/>
          <w:color w:val="auto"/>
          <w:sz w:val="32"/>
          <w:szCs w:val="32"/>
          <w:u w:val="none"/>
          <w:lang w:eastAsia="zh-CN"/>
        </w:rPr>
        <w:t>（市、区）</w:t>
      </w:r>
      <w:r>
        <w:rPr>
          <w:rFonts w:hint="eastAsia" w:ascii="仿宋_GB2312" w:eastAsia="仿宋_GB2312"/>
          <w:color w:val="auto"/>
          <w:sz w:val="32"/>
          <w:szCs w:val="32"/>
        </w:rPr>
        <w:t>自然资源</w:t>
      </w:r>
      <w:r>
        <w:rPr>
          <w:rFonts w:hint="eastAsia" w:ascii="仿宋_GB2312" w:eastAsia="仿宋_GB2312"/>
          <w:color w:val="auto"/>
          <w:sz w:val="32"/>
          <w:szCs w:val="32"/>
          <w:lang w:eastAsia="zh-CN"/>
        </w:rPr>
        <w:t>行政</w:t>
      </w:r>
      <w:r>
        <w:rPr>
          <w:rFonts w:hint="eastAsia" w:ascii="仿宋_GB2312" w:eastAsia="仿宋_GB2312"/>
          <w:color w:val="auto"/>
          <w:sz w:val="32"/>
          <w:szCs w:val="32"/>
        </w:rPr>
        <w:t>主管部门，</w:t>
      </w:r>
      <w:r>
        <w:rPr>
          <w:rFonts w:hint="eastAsia" w:ascii="仿宋_GB2312" w:eastAsia="仿宋_GB2312"/>
          <w:color w:val="auto"/>
          <w:sz w:val="32"/>
          <w:szCs w:val="32"/>
          <w:u w:val="none"/>
        </w:rPr>
        <w:t>作为国土空间规划管理、用地审批的依据。</w:t>
      </w:r>
    </w:p>
    <w:p w14:paraId="5A8234A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FF"/>
          <w:sz w:val="32"/>
          <w:szCs w:val="32"/>
          <w:u w:val="none"/>
          <w:lang w:eastAsia="zh-CN"/>
        </w:rPr>
      </w:pPr>
      <w:r>
        <w:rPr>
          <w:rFonts w:hint="eastAsia" w:ascii="楷体_GB2312" w:eastAsia="楷体_GB2312"/>
          <w:color w:val="auto"/>
          <w:sz w:val="32"/>
          <w:szCs w:val="32"/>
          <w:u w:val="none"/>
        </w:rPr>
        <w:t>第二十</w:t>
      </w:r>
      <w:r>
        <w:rPr>
          <w:rFonts w:hint="eastAsia" w:ascii="楷体_GB2312" w:eastAsia="楷体_GB2312"/>
          <w:color w:val="auto"/>
          <w:sz w:val="32"/>
          <w:szCs w:val="32"/>
          <w:u w:val="none"/>
          <w:lang w:eastAsia="zh-CN"/>
        </w:rPr>
        <w:t>一</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调入城镇开发边界的地块不得占用永久基本农田和生态保护红线，应</w:t>
      </w:r>
      <w:r>
        <w:rPr>
          <w:rFonts w:hint="eastAsia" w:ascii="仿宋_GB2312" w:hAnsi="仿宋_GB2312" w:eastAsia="仿宋_GB2312" w:cs="仿宋_GB2312"/>
          <w:b w:val="0"/>
          <w:bCs w:val="0"/>
          <w:i w:val="0"/>
          <w:caps w:val="0"/>
          <w:color w:val="auto"/>
          <w:spacing w:val="0"/>
          <w:sz w:val="32"/>
          <w:szCs w:val="32"/>
          <w:u w:val="none"/>
          <w:shd w:val="clear" w:color="auto" w:fill="FFFFFF"/>
          <w:vertAlign w:val="baseline"/>
        </w:rPr>
        <w:t>避让地质灾害极高和高风险区、蓄滞洪区、洪涝风险易发区、采煤塌陷区、重要矿产资源压覆区及油井密集区等不适宜城镇建设区域，确实无法避让的应充分论证并说明理由</w:t>
      </w:r>
      <w:r>
        <w:rPr>
          <w:rFonts w:hint="eastAsia" w:ascii="仿宋_GB2312" w:hAnsi="仿宋_GB2312" w:eastAsia="仿宋_GB2312" w:cs="仿宋_GB2312"/>
          <w:b w:val="0"/>
          <w:bCs w:val="0"/>
          <w:i w:val="0"/>
          <w:caps w:val="0"/>
          <w:color w:val="auto"/>
          <w:spacing w:val="0"/>
          <w:sz w:val="32"/>
          <w:szCs w:val="32"/>
          <w:u w:val="none"/>
          <w:shd w:val="clear" w:color="auto" w:fill="FFFFFF"/>
          <w:vertAlign w:val="baseline"/>
          <w:lang w:eastAsia="zh-CN"/>
        </w:rPr>
        <w:t>。</w:t>
      </w:r>
    </w:p>
    <w:p w14:paraId="421F05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cs="仿宋_GB2312"/>
          <w:color w:val="auto"/>
          <w:sz w:val="32"/>
          <w:szCs w:val="32"/>
          <w:u w:val="none"/>
        </w:rPr>
      </w:pPr>
      <w:r>
        <w:rPr>
          <w:rFonts w:hint="eastAsia" w:ascii="楷体_GB2312" w:eastAsia="楷体_GB2312"/>
          <w:color w:val="auto"/>
          <w:sz w:val="32"/>
          <w:szCs w:val="32"/>
          <w:u w:val="none"/>
        </w:rPr>
        <w:t>第二十</w:t>
      </w:r>
      <w:r>
        <w:rPr>
          <w:rFonts w:hint="eastAsia" w:ascii="楷体_GB2312" w:eastAsia="楷体_GB2312"/>
          <w:color w:val="auto"/>
          <w:sz w:val="32"/>
          <w:szCs w:val="32"/>
          <w:u w:val="none"/>
          <w:lang w:eastAsia="zh-CN"/>
        </w:rPr>
        <w:t>二</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已依法依规批准、已办理划拨或出让手续、已核发建设用地使用权权属证书、已实际开发建设的城镇建设用地，以及</w:t>
      </w:r>
      <w:r>
        <w:rPr>
          <w:rFonts w:hint="eastAsia" w:ascii="仿宋_GB2312" w:eastAsia="仿宋_GB2312" w:cs="仿宋_GB2312"/>
          <w:color w:val="auto"/>
          <w:sz w:val="32"/>
          <w:szCs w:val="32"/>
          <w:u w:val="none"/>
        </w:rPr>
        <w:t>已依法依规批准的</w:t>
      </w:r>
      <w:r>
        <w:rPr>
          <w:rFonts w:hint="eastAsia" w:ascii="仿宋_GB2312" w:eastAsia="仿宋_GB2312" w:cs="仿宋_GB2312"/>
          <w:color w:val="auto"/>
          <w:sz w:val="32"/>
          <w:szCs w:val="32"/>
          <w:u w:val="none"/>
          <w:lang w:eastAsia="zh-CN"/>
        </w:rPr>
        <w:t>各类开发区和产业园区、</w:t>
      </w:r>
      <w:r>
        <w:rPr>
          <w:rFonts w:hint="eastAsia" w:ascii="仿宋_GB2312" w:eastAsia="仿宋_GB2312" w:cs="仿宋_GB2312"/>
          <w:color w:val="auto"/>
          <w:sz w:val="32"/>
          <w:szCs w:val="32"/>
          <w:u w:val="none"/>
        </w:rPr>
        <w:t>土地征收成片开发方案和拟近期实施的重大项目涉及的</w:t>
      </w:r>
      <w:r>
        <w:rPr>
          <w:rFonts w:hint="eastAsia" w:ascii="仿宋_GB2312" w:eastAsia="仿宋_GB2312" w:cs="仿宋_GB2312"/>
          <w:color w:val="auto"/>
          <w:sz w:val="32"/>
          <w:szCs w:val="32"/>
          <w:u w:val="none"/>
          <w:lang w:eastAsia="zh-CN"/>
        </w:rPr>
        <w:t>地块</w:t>
      </w:r>
      <w:r>
        <w:rPr>
          <w:rFonts w:hint="eastAsia" w:ascii="仿宋_GB2312" w:eastAsia="仿宋_GB2312" w:cs="仿宋_GB2312"/>
          <w:color w:val="auto"/>
          <w:sz w:val="32"/>
          <w:szCs w:val="32"/>
          <w:u w:val="none"/>
        </w:rPr>
        <w:t>等，原则上不允许调出城镇开发边界。</w:t>
      </w:r>
    </w:p>
    <w:p w14:paraId="2581CF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color w:val="FF0000"/>
          <w:sz w:val="32"/>
          <w:szCs w:val="32"/>
          <w:u w:val="none"/>
          <w:lang w:eastAsia="zh-CN"/>
        </w:rPr>
      </w:pPr>
      <w:r>
        <w:rPr>
          <w:rFonts w:hint="eastAsia" w:ascii="楷体_GB2312" w:eastAsia="楷体_GB2312"/>
          <w:color w:val="auto"/>
          <w:sz w:val="32"/>
          <w:szCs w:val="32"/>
          <w:u w:val="none"/>
        </w:rPr>
        <w:t>第二十</w:t>
      </w:r>
      <w:r>
        <w:rPr>
          <w:rFonts w:hint="eastAsia" w:ascii="楷体_GB2312" w:eastAsia="楷体_GB2312"/>
          <w:color w:val="auto"/>
          <w:sz w:val="32"/>
          <w:szCs w:val="32"/>
          <w:u w:val="none"/>
          <w:lang w:eastAsia="zh-CN"/>
        </w:rPr>
        <w:t>三</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城镇开发边界外拟规划布局的具有特定选址要求的零星城镇建设用地，</w:t>
      </w:r>
      <w:r>
        <w:rPr>
          <w:rFonts w:hint="eastAsia" w:ascii="仿宋_GB2312" w:eastAsia="仿宋_GB2312"/>
          <w:color w:val="auto"/>
          <w:sz w:val="32"/>
          <w:szCs w:val="32"/>
          <w:u w:val="none"/>
          <w:lang w:eastAsia="zh-CN"/>
        </w:rPr>
        <w:t>可</w:t>
      </w:r>
      <w:r>
        <w:rPr>
          <w:rFonts w:hint="eastAsia" w:ascii="仿宋_GB2312" w:eastAsia="仿宋_GB2312"/>
          <w:color w:val="auto"/>
          <w:sz w:val="32"/>
          <w:szCs w:val="32"/>
          <w:u w:val="none"/>
        </w:rPr>
        <w:t>一并纳入城镇开发边界局部优化方案，按照</w:t>
      </w:r>
      <w:r>
        <w:rPr>
          <w:rFonts w:hint="eastAsia" w:ascii="仿宋_GB2312" w:eastAsia="仿宋_GB2312"/>
          <w:color w:val="auto"/>
          <w:sz w:val="32"/>
          <w:szCs w:val="32"/>
          <w:u w:val="none"/>
          <w:lang w:eastAsia="zh-CN"/>
        </w:rPr>
        <w:t>本文件</w:t>
      </w:r>
      <w:r>
        <w:rPr>
          <w:rFonts w:hint="eastAsia" w:ascii="仿宋_GB2312" w:eastAsia="仿宋_GB2312"/>
          <w:color w:val="auto"/>
          <w:sz w:val="32"/>
          <w:szCs w:val="32"/>
          <w:u w:val="none"/>
        </w:rPr>
        <w:t>第</w:t>
      </w:r>
      <w:r>
        <w:rPr>
          <w:rFonts w:hint="eastAsia" w:ascii="仿宋_GB2312" w:eastAsia="仿宋_GB2312"/>
          <w:color w:val="auto"/>
          <w:sz w:val="32"/>
          <w:szCs w:val="32"/>
          <w:u w:val="none"/>
          <w:lang w:eastAsia="zh-CN"/>
        </w:rPr>
        <w:t>二十</w:t>
      </w:r>
      <w:r>
        <w:rPr>
          <w:rFonts w:hint="eastAsia" w:ascii="仿宋_GB2312" w:eastAsia="仿宋_GB2312"/>
          <w:color w:val="auto"/>
          <w:sz w:val="32"/>
          <w:szCs w:val="32"/>
          <w:u w:val="none"/>
        </w:rPr>
        <w:t>条规定的程序更新数据库，作为零星城镇建设用地管理的依据。</w:t>
      </w:r>
    </w:p>
    <w:p w14:paraId="4F5A255D">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五</w:t>
      </w:r>
      <w:r>
        <w:rPr>
          <w:rFonts w:hint="eastAsia" w:ascii="黑体" w:hAnsi="黑体" w:eastAsia="黑体" w:cs="黑体"/>
          <w:b w:val="0"/>
          <w:bCs w:val="0"/>
          <w:color w:val="auto"/>
          <w:sz w:val="32"/>
          <w:szCs w:val="32"/>
          <w:u w:val="none"/>
        </w:rPr>
        <w:t xml:space="preserve">章 </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城镇开发边界</w:t>
      </w:r>
      <w:r>
        <w:rPr>
          <w:rFonts w:hint="eastAsia" w:ascii="黑体" w:hAnsi="黑体" w:eastAsia="黑体" w:cs="黑体"/>
          <w:b w:val="0"/>
          <w:bCs w:val="0"/>
          <w:color w:val="auto"/>
          <w:sz w:val="32"/>
          <w:szCs w:val="32"/>
          <w:u w:val="none"/>
          <w:lang w:eastAsia="zh-CN"/>
        </w:rPr>
        <w:t>实施</w:t>
      </w:r>
      <w:r>
        <w:rPr>
          <w:rFonts w:hint="eastAsia" w:ascii="黑体" w:hAnsi="黑体" w:eastAsia="黑体" w:cs="黑体"/>
          <w:b w:val="0"/>
          <w:bCs w:val="0"/>
          <w:color w:val="auto"/>
          <w:sz w:val="32"/>
          <w:szCs w:val="32"/>
          <w:u w:val="none"/>
        </w:rPr>
        <w:t>监督</w:t>
      </w:r>
    </w:p>
    <w:p w14:paraId="42FD33DB">
      <w:pPr>
        <w:keepNext w:val="0"/>
        <w:keepLines w:val="0"/>
        <w:pageBreakBefore w:val="0"/>
        <w:widowControl w:val="0"/>
        <w:suppressAutoHyphens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第二十</w:t>
      </w:r>
      <w:r>
        <w:rPr>
          <w:rFonts w:hint="eastAsia" w:ascii="楷体_GB2312" w:eastAsia="楷体_GB2312"/>
          <w:color w:val="auto"/>
          <w:sz w:val="32"/>
          <w:szCs w:val="32"/>
          <w:u w:val="none"/>
          <w:lang w:eastAsia="zh-CN"/>
        </w:rPr>
        <w:t>四</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（地）</w:t>
      </w:r>
      <w:r>
        <w:rPr>
          <w:rFonts w:hint="eastAsia" w:ascii="仿宋_GB2312" w:eastAsia="仿宋_GB2312"/>
          <w:color w:val="auto"/>
          <w:sz w:val="32"/>
          <w:szCs w:val="32"/>
          <w:u w:val="none"/>
        </w:rPr>
        <w:t>、县</w:t>
      </w:r>
      <w:r>
        <w:rPr>
          <w:rFonts w:hint="eastAsia" w:ascii="仿宋_GB2312" w:eastAsia="仿宋_GB2312"/>
          <w:color w:val="auto"/>
          <w:sz w:val="32"/>
          <w:szCs w:val="32"/>
          <w:u w:val="none"/>
          <w:lang w:eastAsia="zh-CN"/>
        </w:rPr>
        <w:t>（市、区）</w:t>
      </w:r>
      <w:r>
        <w:rPr>
          <w:rFonts w:hint="eastAsia" w:ascii="仿宋_GB2312" w:eastAsia="仿宋_GB2312"/>
          <w:color w:val="auto"/>
          <w:sz w:val="32"/>
          <w:szCs w:val="32"/>
          <w:u w:val="none"/>
        </w:rPr>
        <w:t>自然资源</w:t>
      </w:r>
      <w:r>
        <w:rPr>
          <w:rFonts w:hint="eastAsia" w:ascii="仿宋_GB2312" w:eastAsia="仿宋_GB2312"/>
          <w:color w:val="auto"/>
          <w:sz w:val="32"/>
          <w:szCs w:val="32"/>
          <w:u w:val="none"/>
          <w:lang w:eastAsia="zh-CN"/>
        </w:rPr>
        <w:t>行政</w:t>
      </w:r>
      <w:r>
        <w:rPr>
          <w:rFonts w:hint="eastAsia" w:ascii="仿宋_GB2312" w:eastAsia="仿宋_GB2312"/>
          <w:color w:val="auto"/>
          <w:sz w:val="32"/>
          <w:szCs w:val="32"/>
          <w:u w:val="none"/>
        </w:rPr>
        <w:t>主管部门应将城镇开发边界管理数据纳入国土空间规划“一张图”实施监督信息系统，作为国土空间规划管理、用地审批的依据。</w:t>
      </w:r>
    </w:p>
    <w:p w14:paraId="7965A7CE">
      <w:pPr>
        <w:keepNext w:val="0"/>
        <w:keepLines w:val="0"/>
        <w:pageBreakBefore w:val="0"/>
        <w:suppressAutoHyphens w:val="0"/>
        <w:kinsoku/>
        <w:wordWrap/>
        <w:overflowPunct/>
        <w:topLinePunct w:val="0"/>
        <w:autoSpaceDE/>
        <w:autoSpaceDN/>
        <w:bidi w:val="0"/>
        <w:spacing w:line="570" w:lineRule="exact"/>
        <w:ind w:firstLine="640" w:firstLineChars="200"/>
        <w:textAlignment w:val="auto"/>
        <w:rPr>
          <w:rFonts w:hint="eastAsia" w:ascii="仿宋_GB2312" w:eastAsia="仿宋_GB2312"/>
          <w:color w:val="auto"/>
          <w:sz w:val="32"/>
          <w:szCs w:val="32"/>
          <w:u w:val="none"/>
        </w:rPr>
      </w:pPr>
      <w:r>
        <w:rPr>
          <w:rFonts w:hint="eastAsia" w:ascii="楷体_GB2312" w:eastAsia="楷体_GB2312"/>
          <w:color w:val="auto"/>
          <w:sz w:val="32"/>
          <w:szCs w:val="32"/>
          <w:u w:val="none"/>
        </w:rPr>
        <w:t>第二十</w:t>
      </w:r>
      <w:r>
        <w:rPr>
          <w:rFonts w:hint="eastAsia" w:ascii="楷体_GB2312" w:eastAsia="楷体_GB2312"/>
          <w:color w:val="auto"/>
          <w:sz w:val="32"/>
          <w:szCs w:val="32"/>
          <w:u w:val="none"/>
          <w:lang w:eastAsia="zh-CN"/>
        </w:rPr>
        <w:t>五</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eastAsia="仿宋_GB2312"/>
          <w:color w:val="auto"/>
          <w:sz w:val="32"/>
          <w:szCs w:val="32"/>
          <w:u w:val="none"/>
        </w:rPr>
        <w:t>省自然资源厅将依托国土空间规划“一张图”实施监督信息系统，结合</w:t>
      </w:r>
      <w:r>
        <w:rPr>
          <w:rFonts w:hint="eastAsia" w:ascii="仿宋_GB2312" w:eastAsia="仿宋_GB2312"/>
          <w:color w:val="auto"/>
          <w:sz w:val="32"/>
          <w:szCs w:val="32"/>
          <w:u w:val="none"/>
          <w:lang w:eastAsia="zh-CN"/>
        </w:rPr>
        <w:t>国土空间规划城市体检评估、</w:t>
      </w:r>
      <w:r>
        <w:rPr>
          <w:rFonts w:hint="eastAsia" w:ascii="仿宋_GB2312" w:eastAsia="仿宋_GB2312"/>
          <w:color w:val="auto"/>
          <w:sz w:val="32"/>
          <w:szCs w:val="32"/>
          <w:u w:val="none"/>
        </w:rPr>
        <w:t>国土变更调查和土地利用计划执行</w:t>
      </w:r>
      <w:r>
        <w:rPr>
          <w:rFonts w:hint="eastAsia" w:ascii="仿宋_GB2312" w:eastAsia="仿宋_GB2312"/>
          <w:color w:val="auto"/>
          <w:sz w:val="32"/>
          <w:szCs w:val="32"/>
          <w:u w:val="none"/>
          <w:lang w:eastAsia="zh-CN"/>
        </w:rPr>
        <w:t>等</w:t>
      </w:r>
      <w:r>
        <w:rPr>
          <w:rFonts w:hint="eastAsia" w:ascii="仿宋_GB2312" w:eastAsia="仿宋_GB2312"/>
          <w:color w:val="auto"/>
          <w:sz w:val="32"/>
          <w:szCs w:val="32"/>
          <w:u w:val="none"/>
        </w:rPr>
        <w:t>情况，对城镇开发边界管理情况进行监督检查，</w:t>
      </w:r>
      <w:r>
        <w:rPr>
          <w:rFonts w:hint="eastAsia" w:ascii="仿宋_GB2312" w:eastAsia="仿宋_GB2312"/>
          <w:color w:val="auto"/>
          <w:sz w:val="32"/>
          <w:szCs w:val="32"/>
          <w:u w:val="none"/>
          <w:lang w:eastAsia="zh-CN"/>
        </w:rPr>
        <w:t>实施</w:t>
      </w:r>
      <w:r>
        <w:rPr>
          <w:rFonts w:hint="eastAsia" w:ascii="仿宋_GB2312" w:eastAsia="仿宋_GB2312"/>
          <w:color w:val="auto"/>
          <w:sz w:val="32"/>
          <w:szCs w:val="32"/>
          <w:u w:val="none"/>
        </w:rPr>
        <w:t>城镇开发边界全生命周期管理。</w:t>
      </w:r>
    </w:p>
    <w:p w14:paraId="4D6EA957">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70" w:lineRule="exact"/>
        <w:jc w:val="center"/>
        <w:textAlignment w:val="auto"/>
        <w:rPr>
          <w:rFonts w:hint="eastAsia" w:ascii="仿宋_GB2312" w:eastAsia="仿宋_GB2312"/>
          <w:color w:val="auto"/>
          <w:sz w:val="32"/>
          <w:szCs w:val="32"/>
          <w:u w:val="none"/>
          <w:lang w:eastAsia="zh-CN"/>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六</w:t>
      </w:r>
      <w:r>
        <w:rPr>
          <w:rFonts w:hint="eastAsia" w:ascii="黑体" w:hAnsi="黑体" w:eastAsia="黑体" w:cs="黑体"/>
          <w:b w:val="0"/>
          <w:bCs w:val="0"/>
          <w:color w:val="auto"/>
          <w:sz w:val="32"/>
          <w:szCs w:val="32"/>
          <w:u w:val="none"/>
        </w:rPr>
        <w:t xml:space="preserve">章 </w:t>
      </w:r>
      <w:r>
        <w:rPr>
          <w:rFonts w:hint="eastAsia" w:ascii="黑体" w:hAnsi="黑体" w:eastAsia="黑体" w:cs="黑体"/>
          <w:b w:val="0"/>
          <w:bCs w:val="0"/>
          <w:color w:val="auto"/>
          <w:sz w:val="32"/>
          <w:szCs w:val="32"/>
          <w:u w:val="none"/>
          <w:lang w:val="en-US" w:eastAsia="zh-CN"/>
        </w:rPr>
        <w:t xml:space="preserve"> 附  则</w:t>
      </w:r>
    </w:p>
    <w:p w14:paraId="0E7D9E61">
      <w:pPr>
        <w:keepNext w:val="0"/>
        <w:keepLines w:val="0"/>
        <w:pageBreakBefore w:val="0"/>
        <w:suppressAutoHyphens w:val="0"/>
        <w:kinsoku/>
        <w:wordWrap/>
        <w:overflowPunct/>
        <w:topLinePunct w:val="0"/>
        <w:autoSpaceDE/>
        <w:autoSpaceDN/>
        <w:bidi w:val="0"/>
        <w:spacing w:line="570" w:lineRule="exact"/>
        <w:ind w:firstLine="640" w:firstLineChars="200"/>
        <w:textAlignment w:val="auto"/>
        <w:rPr>
          <w:rFonts w:hint="eastAsia"/>
          <w:u w:val="none"/>
        </w:rPr>
      </w:pPr>
      <w:r>
        <w:rPr>
          <w:rFonts w:hint="eastAsia" w:ascii="楷体_GB2312" w:eastAsia="楷体_GB2312"/>
          <w:color w:val="auto"/>
          <w:sz w:val="32"/>
          <w:szCs w:val="32"/>
          <w:u w:val="none"/>
        </w:rPr>
        <w:t>第二十</w:t>
      </w:r>
      <w:r>
        <w:rPr>
          <w:rFonts w:hint="eastAsia" w:ascii="楷体_GB2312" w:eastAsia="楷体_GB2312"/>
          <w:color w:val="auto"/>
          <w:sz w:val="32"/>
          <w:szCs w:val="32"/>
          <w:u w:val="none"/>
          <w:lang w:eastAsia="zh-CN"/>
        </w:rPr>
        <w:t>六</w:t>
      </w:r>
      <w:r>
        <w:rPr>
          <w:rFonts w:hint="eastAsia" w:ascii="楷体_GB2312" w:eastAsia="楷体_GB2312"/>
          <w:color w:val="auto"/>
          <w:sz w:val="32"/>
          <w:szCs w:val="32"/>
          <w:u w:val="none"/>
        </w:rPr>
        <w:t>条</w:t>
      </w:r>
      <w:r>
        <w:rPr>
          <w:rFonts w:hint="eastAsia" w:ascii="楷体_GB2312" w:eastAsia="楷体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本实施细则自印发之日起施行，</w:t>
      </w:r>
      <w:r>
        <w:rPr>
          <w:rFonts w:hint="eastAsia" w:ascii="仿宋_GB2312" w:eastAsia="仿宋_GB2312"/>
          <w:color w:val="auto"/>
          <w:sz w:val="32"/>
          <w:szCs w:val="32"/>
          <w:u w:val="none"/>
        </w:rPr>
        <w:t>文件执行过程中遇到的问题，请及时向省自然资源厅反馈，省自然资源厅将根据国家有关要求和工作实际，适时修订完善城镇开发边界管理要求。</w:t>
      </w:r>
      <w:r>
        <w:rPr>
          <w:rFonts w:hint="eastAsia" w:ascii="仿宋_GB2312" w:eastAsia="仿宋_GB2312"/>
          <w:color w:val="auto"/>
          <w:sz w:val="32"/>
          <w:szCs w:val="32"/>
          <w:u w:val="none"/>
          <w:lang w:eastAsia="zh-CN"/>
        </w:rPr>
        <w:t>国家法律法规和</w:t>
      </w:r>
      <w:r>
        <w:rPr>
          <w:rFonts w:hint="eastAsia" w:ascii="仿宋_GB2312" w:eastAsia="仿宋_GB2312"/>
          <w:color w:val="auto"/>
          <w:sz w:val="32"/>
          <w:szCs w:val="32"/>
          <w:u w:val="none"/>
        </w:rPr>
        <w:t>政策文件对城镇开发边界管理另有规定的，从其规定。</w:t>
      </w:r>
    </w:p>
    <w:sectPr>
      <w:footerReference r:id="rId3" w:type="default"/>
      <w:pgSz w:w="11906" w:h="16838"/>
      <w:pgMar w:top="2098" w:right="1474" w:bottom="1985" w:left="1588" w:header="851" w:footer="1417"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C77182-4972-4723-A2E6-D25C029338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embedRegular r:id="rId2" w:fontKey="{6CC7CEA3-DEB2-46C8-AFFD-EAC40DA1D12B}"/>
  </w:font>
  <w:font w:name="仿宋_GB2312">
    <w:altName w:val="仿宋"/>
    <w:panose1 w:val="02010609030101010101"/>
    <w:charset w:val="86"/>
    <w:family w:val="modern"/>
    <w:pitch w:val="default"/>
    <w:sig w:usb0="00000000" w:usb1="00000000" w:usb2="00000000" w:usb3="00000000" w:csb0="00040000" w:csb1="00000000"/>
    <w:embedRegular r:id="rId3" w:fontKey="{386E798A-C8E7-4076-9C29-1ACB7090ED5D}"/>
  </w:font>
  <w:font w:name="楷体_GB2312">
    <w:altName w:val="楷体"/>
    <w:panose1 w:val="02010609030101010101"/>
    <w:charset w:val="86"/>
    <w:family w:val="auto"/>
    <w:pitch w:val="default"/>
    <w:sig w:usb0="00000000" w:usb1="00000000" w:usb2="00000000" w:usb3="00000000" w:csb0="00040000" w:csb1="00000000"/>
    <w:embedRegular r:id="rId4" w:fontKey="{8E66D618-732F-437F-97E8-47719C4ED9F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4D28">
    <w:pPr>
      <w:pStyle w:val="1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Style w:val="22"/>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7398A">
                          <w:pPr>
                            <w:pStyle w:val="1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07398A">
                    <w:pPr>
                      <w:pStyle w:val="1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6F212">
                          <w:pPr>
                            <w:pStyle w:val="12"/>
                            <w:ind w:firstLine="280" w:firstLineChars="100"/>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56F212">
                    <w:pPr>
                      <w:pStyle w:val="12"/>
                      <w:ind w:firstLine="280" w:firstLineChars="100"/>
                      <w:rPr>
                        <w:rFonts w:hint="eastAsia" w:asciiTheme="minorEastAsia" w:hAnsiTheme="minorEastAsia" w:eastAsiaTheme="minorEastAsia" w:cstheme="minorEastAsia"/>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4ADB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F4ADB3"/>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ZmRkOTJjN2ZjZTMwMDNmN2I5ZWNlMWRiNGZiMzMifQ=="/>
  </w:docVars>
  <w:rsids>
    <w:rsidRoot w:val="00726B26"/>
    <w:rsid w:val="00084D32"/>
    <w:rsid w:val="0009531B"/>
    <w:rsid w:val="000A03AF"/>
    <w:rsid w:val="000A29A2"/>
    <w:rsid w:val="000B0BF9"/>
    <w:rsid w:val="000E3831"/>
    <w:rsid w:val="001C0F31"/>
    <w:rsid w:val="002056B2"/>
    <w:rsid w:val="00262EFA"/>
    <w:rsid w:val="00281D77"/>
    <w:rsid w:val="00296666"/>
    <w:rsid w:val="002B4351"/>
    <w:rsid w:val="0030017C"/>
    <w:rsid w:val="003325CC"/>
    <w:rsid w:val="00366421"/>
    <w:rsid w:val="00391CAC"/>
    <w:rsid w:val="003B4BAA"/>
    <w:rsid w:val="00426D0A"/>
    <w:rsid w:val="00447C7B"/>
    <w:rsid w:val="00454976"/>
    <w:rsid w:val="004D4F4A"/>
    <w:rsid w:val="00543A96"/>
    <w:rsid w:val="00561C4F"/>
    <w:rsid w:val="005A4CD1"/>
    <w:rsid w:val="005B64A4"/>
    <w:rsid w:val="006320BC"/>
    <w:rsid w:val="006716F5"/>
    <w:rsid w:val="006815A0"/>
    <w:rsid w:val="00712E35"/>
    <w:rsid w:val="00726B26"/>
    <w:rsid w:val="00747610"/>
    <w:rsid w:val="00896BEC"/>
    <w:rsid w:val="008D3656"/>
    <w:rsid w:val="00934B4B"/>
    <w:rsid w:val="009F6A94"/>
    <w:rsid w:val="00AD489C"/>
    <w:rsid w:val="00B07F78"/>
    <w:rsid w:val="00B553CB"/>
    <w:rsid w:val="00B94D71"/>
    <w:rsid w:val="00C207A7"/>
    <w:rsid w:val="00C2728F"/>
    <w:rsid w:val="00C522D9"/>
    <w:rsid w:val="00C76ACB"/>
    <w:rsid w:val="00C81A1E"/>
    <w:rsid w:val="00CA0AFC"/>
    <w:rsid w:val="00CB386C"/>
    <w:rsid w:val="00CD3E4C"/>
    <w:rsid w:val="00D80399"/>
    <w:rsid w:val="00DE012B"/>
    <w:rsid w:val="00E21812"/>
    <w:rsid w:val="00E24AE3"/>
    <w:rsid w:val="00E96B22"/>
    <w:rsid w:val="00F3568F"/>
    <w:rsid w:val="00FC41D5"/>
    <w:rsid w:val="00FF5B36"/>
    <w:rsid w:val="0B5036E2"/>
    <w:rsid w:val="0B84296A"/>
    <w:rsid w:val="0BD93ABC"/>
    <w:rsid w:val="0D764243"/>
    <w:rsid w:val="10691094"/>
    <w:rsid w:val="1FBF017D"/>
    <w:rsid w:val="1FD30C27"/>
    <w:rsid w:val="1FF22B62"/>
    <w:rsid w:val="1FFF36F4"/>
    <w:rsid w:val="2723610F"/>
    <w:rsid w:val="28200551"/>
    <w:rsid w:val="29F2368F"/>
    <w:rsid w:val="2AB14E6B"/>
    <w:rsid w:val="2CA13945"/>
    <w:rsid w:val="2D7D0776"/>
    <w:rsid w:val="2EBB15F1"/>
    <w:rsid w:val="2F0F64E2"/>
    <w:rsid w:val="34665552"/>
    <w:rsid w:val="377F4180"/>
    <w:rsid w:val="37D6FDB3"/>
    <w:rsid w:val="37FB3506"/>
    <w:rsid w:val="3CF26405"/>
    <w:rsid w:val="3D6FC3C7"/>
    <w:rsid w:val="3E5F8AC1"/>
    <w:rsid w:val="3EFFC537"/>
    <w:rsid w:val="4108247F"/>
    <w:rsid w:val="46FA73D7"/>
    <w:rsid w:val="481D3BFF"/>
    <w:rsid w:val="4BFC24EE"/>
    <w:rsid w:val="4BFE646E"/>
    <w:rsid w:val="4C995F8F"/>
    <w:rsid w:val="4DDED444"/>
    <w:rsid w:val="4EFE1CA4"/>
    <w:rsid w:val="4F7ACBEA"/>
    <w:rsid w:val="5149784B"/>
    <w:rsid w:val="57F6721E"/>
    <w:rsid w:val="589C525E"/>
    <w:rsid w:val="597708B1"/>
    <w:rsid w:val="5A8464D3"/>
    <w:rsid w:val="5AAD9D18"/>
    <w:rsid w:val="5DFF21FD"/>
    <w:rsid w:val="5E4B40E5"/>
    <w:rsid w:val="5EFA7CCD"/>
    <w:rsid w:val="5F5EE241"/>
    <w:rsid w:val="5F762D19"/>
    <w:rsid w:val="5FBD0363"/>
    <w:rsid w:val="5FD47750"/>
    <w:rsid w:val="5FFD2F0A"/>
    <w:rsid w:val="608B0DC0"/>
    <w:rsid w:val="626FE896"/>
    <w:rsid w:val="650D2272"/>
    <w:rsid w:val="6C6B4819"/>
    <w:rsid w:val="6D7DA0AD"/>
    <w:rsid w:val="6EDFBDBE"/>
    <w:rsid w:val="6F768008"/>
    <w:rsid w:val="6FF7C70B"/>
    <w:rsid w:val="72DDA236"/>
    <w:rsid w:val="74D837A5"/>
    <w:rsid w:val="75BF91AC"/>
    <w:rsid w:val="75E3C6BB"/>
    <w:rsid w:val="774FAA25"/>
    <w:rsid w:val="77AE479A"/>
    <w:rsid w:val="77F55083"/>
    <w:rsid w:val="7AE61109"/>
    <w:rsid w:val="7BB7034A"/>
    <w:rsid w:val="7D7F1022"/>
    <w:rsid w:val="7DF95326"/>
    <w:rsid w:val="7EBF8F18"/>
    <w:rsid w:val="7EEBDDDE"/>
    <w:rsid w:val="7EEE3492"/>
    <w:rsid w:val="7F580113"/>
    <w:rsid w:val="7F5C5201"/>
    <w:rsid w:val="7F7D58EC"/>
    <w:rsid w:val="7FBC256C"/>
    <w:rsid w:val="7FCC9628"/>
    <w:rsid w:val="7FD7EDF5"/>
    <w:rsid w:val="7FED26D3"/>
    <w:rsid w:val="7FEFE893"/>
    <w:rsid w:val="7FF1BFB2"/>
    <w:rsid w:val="7FF4E39A"/>
    <w:rsid w:val="7FFEF3B8"/>
    <w:rsid w:val="7FFF986F"/>
    <w:rsid w:val="8D7F86D9"/>
    <w:rsid w:val="9D4B5CFF"/>
    <w:rsid w:val="9EFC35DD"/>
    <w:rsid w:val="A23BCC61"/>
    <w:rsid w:val="AEAD2DB0"/>
    <w:rsid w:val="B2FFCBE9"/>
    <w:rsid w:val="B3C918C6"/>
    <w:rsid w:val="B3E3E691"/>
    <w:rsid w:val="BA7B23C6"/>
    <w:rsid w:val="BA911019"/>
    <w:rsid w:val="BB9B77B9"/>
    <w:rsid w:val="BF5B5788"/>
    <w:rsid w:val="BFEFE1C7"/>
    <w:rsid w:val="CDEB44DE"/>
    <w:rsid w:val="CF6E342B"/>
    <w:rsid w:val="DDFE483B"/>
    <w:rsid w:val="DDFFBC5B"/>
    <w:rsid w:val="DECB9C87"/>
    <w:rsid w:val="DF27F528"/>
    <w:rsid w:val="DFD73C4C"/>
    <w:rsid w:val="E72F233E"/>
    <w:rsid w:val="E7FBC399"/>
    <w:rsid w:val="EFC7F5BD"/>
    <w:rsid w:val="EFF1A253"/>
    <w:rsid w:val="EFF35A4E"/>
    <w:rsid w:val="F3BA5AF8"/>
    <w:rsid w:val="F6CD4181"/>
    <w:rsid w:val="F6FE5CCC"/>
    <w:rsid w:val="F783348C"/>
    <w:rsid w:val="F7E1E150"/>
    <w:rsid w:val="F9AE963E"/>
    <w:rsid w:val="F9CF6CBE"/>
    <w:rsid w:val="F9FB7644"/>
    <w:rsid w:val="FAFB6F5C"/>
    <w:rsid w:val="FB7D5BFF"/>
    <w:rsid w:val="FBDFCA68"/>
    <w:rsid w:val="FD7B879D"/>
    <w:rsid w:val="FD7F9A8F"/>
    <w:rsid w:val="FDDC2452"/>
    <w:rsid w:val="FE734873"/>
    <w:rsid w:val="FEF1E64D"/>
    <w:rsid w:val="FEFF21EC"/>
    <w:rsid w:val="FFD34A2B"/>
    <w:rsid w:val="FFD7CBBB"/>
    <w:rsid w:val="FFF93F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Cambria" w:hAnsi="Cambria"/>
      <w:b/>
      <w:bCs/>
      <w:kern w:val="32"/>
      <w:sz w:val="32"/>
      <w:szCs w:val="32"/>
    </w:rPr>
  </w:style>
  <w:style w:type="paragraph" w:styleId="3">
    <w:name w:val="heading 2"/>
    <w:basedOn w:val="1"/>
    <w:next w:val="1"/>
    <w:qFormat/>
    <w:uiPriority w:val="0"/>
    <w:pPr>
      <w:keepNext/>
      <w:spacing w:before="240" w:after="60"/>
      <w:outlineLvl w:val="1"/>
    </w:pPr>
    <w:rPr>
      <w:rFonts w:ascii="Cambria" w:hAnsi="Cambria"/>
      <w:b/>
      <w:bCs/>
      <w:i/>
      <w:iCs/>
      <w:kern w:val="0"/>
      <w:sz w:val="28"/>
      <w:szCs w:val="28"/>
    </w:rPr>
  </w:style>
  <w:style w:type="paragraph" w:styleId="4">
    <w:name w:val="heading 3"/>
    <w:basedOn w:val="1"/>
    <w:next w:val="1"/>
    <w:qFormat/>
    <w:uiPriority w:val="0"/>
    <w:pPr>
      <w:keepNext/>
      <w:spacing w:before="240" w:after="60"/>
      <w:outlineLvl w:val="2"/>
    </w:pPr>
    <w:rPr>
      <w:rFonts w:ascii="Cambria" w:hAnsi="Cambria"/>
      <w:b/>
      <w:bCs/>
      <w:kern w:val="0"/>
      <w:sz w:val="26"/>
      <w:szCs w:val="26"/>
    </w:rPr>
  </w:style>
  <w:style w:type="paragraph" w:styleId="5">
    <w:name w:val="heading 4"/>
    <w:basedOn w:val="1"/>
    <w:next w:val="1"/>
    <w:qFormat/>
    <w:uiPriority w:val="0"/>
    <w:pPr>
      <w:keepNext/>
      <w:spacing w:before="240" w:after="60"/>
      <w:outlineLvl w:val="3"/>
    </w:pPr>
    <w:rPr>
      <w:rFonts w:ascii="Calibri" w:hAnsi="Calibri"/>
      <w:b/>
      <w:bCs/>
      <w:kern w:val="0"/>
      <w:sz w:val="28"/>
      <w:szCs w:val="28"/>
    </w:rPr>
  </w:style>
  <w:style w:type="paragraph" w:styleId="6">
    <w:name w:val="heading 5"/>
    <w:basedOn w:val="1"/>
    <w:next w:val="1"/>
    <w:qFormat/>
    <w:uiPriority w:val="0"/>
    <w:pPr>
      <w:spacing w:before="240" w:after="60"/>
      <w:outlineLvl w:val="4"/>
    </w:pPr>
    <w:rPr>
      <w:rFonts w:ascii="Calibri" w:hAnsi="Calibri"/>
      <w:b/>
      <w:bCs/>
      <w:i/>
      <w:iCs/>
      <w:kern w:val="0"/>
      <w:sz w:val="26"/>
      <w:szCs w:val="26"/>
    </w:rPr>
  </w:style>
  <w:style w:type="paragraph" w:styleId="7">
    <w:name w:val="heading 6"/>
    <w:basedOn w:val="1"/>
    <w:next w:val="1"/>
    <w:qFormat/>
    <w:uiPriority w:val="0"/>
    <w:pPr>
      <w:spacing w:before="240" w:after="60"/>
      <w:outlineLvl w:val="5"/>
    </w:pPr>
    <w:rPr>
      <w:rFonts w:ascii="Calibri" w:hAnsi="Calibri"/>
      <w:b/>
      <w:bCs/>
      <w:kern w:val="0"/>
      <w:sz w:val="20"/>
      <w:szCs w:val="20"/>
    </w:rPr>
  </w:style>
  <w:style w:type="paragraph" w:styleId="8">
    <w:name w:val="heading 7"/>
    <w:basedOn w:val="1"/>
    <w:next w:val="1"/>
    <w:qFormat/>
    <w:uiPriority w:val="0"/>
    <w:pPr>
      <w:spacing w:before="240" w:after="60"/>
      <w:outlineLvl w:val="6"/>
    </w:pPr>
    <w:rPr>
      <w:rFonts w:ascii="Calibri" w:hAnsi="Calibri"/>
      <w:kern w:val="0"/>
      <w:sz w:val="24"/>
    </w:rPr>
  </w:style>
  <w:style w:type="paragraph" w:styleId="9">
    <w:name w:val="heading 8"/>
    <w:basedOn w:val="1"/>
    <w:next w:val="1"/>
    <w:link w:val="33"/>
    <w:qFormat/>
    <w:uiPriority w:val="0"/>
    <w:pPr>
      <w:spacing w:before="240" w:after="60"/>
      <w:outlineLvl w:val="7"/>
    </w:pPr>
    <w:rPr>
      <w:rFonts w:ascii="Calibri" w:hAnsi="Calibri"/>
      <w:i/>
      <w:iCs/>
      <w:kern w:val="0"/>
      <w:sz w:val="24"/>
    </w:rPr>
  </w:style>
  <w:style w:type="paragraph" w:styleId="10">
    <w:name w:val="heading 9"/>
    <w:basedOn w:val="1"/>
    <w:next w:val="1"/>
    <w:link w:val="34"/>
    <w:qFormat/>
    <w:uiPriority w:val="0"/>
    <w:pPr>
      <w:spacing w:before="240" w:after="60"/>
      <w:outlineLvl w:val="8"/>
    </w:pPr>
    <w:rPr>
      <w:rFonts w:ascii="Cambria" w:hAnsi="Cambria"/>
      <w:kern w:val="0"/>
      <w:sz w:val="20"/>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qFormat/>
    <w:uiPriority w:val="0"/>
    <w:pPr>
      <w:ind w:left="100" w:leftChars="2500"/>
    </w:p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7"/>
    <w:qFormat/>
    <w:uiPriority w:val="0"/>
    <w:pPr>
      <w:spacing w:after="60"/>
      <w:jc w:val="center"/>
      <w:outlineLvl w:val="1"/>
    </w:pPr>
    <w:rPr>
      <w:rFonts w:ascii="Cambria" w:hAnsi="Cambria"/>
      <w:kern w:val="0"/>
      <w:sz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link w:val="38"/>
    <w:qFormat/>
    <w:uiPriority w:val="0"/>
    <w:pPr>
      <w:spacing w:before="240" w:after="60"/>
      <w:jc w:val="center"/>
      <w:outlineLvl w:val="0"/>
    </w:pPr>
    <w:rPr>
      <w:rFonts w:ascii="Cambria" w:hAnsi="Cambria"/>
      <w:b/>
      <w:bCs/>
      <w:kern w:val="28"/>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Emphasis"/>
    <w:qFormat/>
    <w:uiPriority w:val="0"/>
    <w:rPr>
      <w:rFonts w:ascii="Calibri" w:hAnsi="Calibri"/>
      <w:b/>
      <w:i/>
      <w:iCs/>
    </w:rPr>
  </w:style>
  <w:style w:type="character" w:customStyle="1" w:styleId="24">
    <w:name w:val="页脚 Char"/>
    <w:link w:val="12"/>
    <w:qFormat/>
    <w:uiPriority w:val="99"/>
    <w:rPr>
      <w:kern w:val="2"/>
      <w:sz w:val="18"/>
      <w:szCs w:val="18"/>
    </w:rPr>
  </w:style>
  <w:style w:type="character" w:customStyle="1" w:styleId="25">
    <w:name w:val="页脚 Char1"/>
    <w:qFormat/>
    <w:uiPriority w:val="99"/>
    <w:rPr>
      <w:kern w:val="2"/>
      <w:sz w:val="18"/>
      <w:szCs w:val="18"/>
    </w:rPr>
  </w:style>
  <w:style w:type="character" w:customStyle="1" w:styleId="26">
    <w:name w:val="标题 1 字符"/>
    <w:link w:val="12"/>
    <w:qFormat/>
    <w:uiPriority w:val="0"/>
    <w:rPr>
      <w:rFonts w:ascii="Cambria" w:hAnsi="Cambria" w:eastAsia="宋体"/>
      <w:b/>
      <w:bCs/>
      <w:kern w:val="32"/>
      <w:sz w:val="32"/>
      <w:szCs w:val="32"/>
    </w:rPr>
  </w:style>
  <w:style w:type="character" w:customStyle="1" w:styleId="27">
    <w:name w:val="标题 2 字符"/>
    <w:link w:val="13"/>
    <w:qFormat/>
    <w:uiPriority w:val="0"/>
    <w:rPr>
      <w:rFonts w:ascii="Cambria" w:hAnsi="Cambria" w:eastAsia="宋体"/>
      <w:b/>
      <w:bCs/>
      <w:i/>
      <w:iCs/>
      <w:sz w:val="28"/>
      <w:szCs w:val="28"/>
    </w:rPr>
  </w:style>
  <w:style w:type="character" w:customStyle="1" w:styleId="28">
    <w:name w:val="标题 3 字符"/>
    <w:qFormat/>
    <w:uiPriority w:val="0"/>
    <w:rPr>
      <w:rFonts w:ascii="Cambria" w:hAnsi="Cambria" w:eastAsia="宋体"/>
      <w:b/>
      <w:bCs/>
      <w:sz w:val="26"/>
      <w:szCs w:val="26"/>
    </w:rPr>
  </w:style>
  <w:style w:type="character" w:customStyle="1" w:styleId="29">
    <w:name w:val="标题 4 字符"/>
    <w:qFormat/>
    <w:uiPriority w:val="0"/>
    <w:rPr>
      <w:b/>
      <w:bCs/>
      <w:sz w:val="28"/>
      <w:szCs w:val="28"/>
    </w:rPr>
  </w:style>
  <w:style w:type="character" w:customStyle="1" w:styleId="30">
    <w:name w:val="标题 5 字符"/>
    <w:qFormat/>
    <w:uiPriority w:val="0"/>
    <w:rPr>
      <w:b/>
      <w:bCs/>
      <w:i/>
      <w:iCs/>
      <w:sz w:val="26"/>
      <w:szCs w:val="26"/>
    </w:rPr>
  </w:style>
  <w:style w:type="character" w:customStyle="1" w:styleId="31">
    <w:name w:val="标题 6 字符"/>
    <w:qFormat/>
    <w:uiPriority w:val="0"/>
    <w:rPr>
      <w:b/>
      <w:bCs/>
    </w:rPr>
  </w:style>
  <w:style w:type="character" w:customStyle="1" w:styleId="32">
    <w:name w:val="标题 7 字符"/>
    <w:qFormat/>
    <w:uiPriority w:val="0"/>
    <w:rPr>
      <w:sz w:val="24"/>
      <w:szCs w:val="24"/>
    </w:rPr>
  </w:style>
  <w:style w:type="character" w:customStyle="1" w:styleId="33">
    <w:name w:val="标题 8 字符"/>
    <w:link w:val="9"/>
    <w:qFormat/>
    <w:uiPriority w:val="0"/>
    <w:rPr>
      <w:i/>
      <w:iCs/>
      <w:sz w:val="24"/>
      <w:szCs w:val="24"/>
    </w:rPr>
  </w:style>
  <w:style w:type="character" w:customStyle="1" w:styleId="34">
    <w:name w:val="标题 9 字符"/>
    <w:link w:val="10"/>
    <w:qFormat/>
    <w:uiPriority w:val="0"/>
    <w:rPr>
      <w:rFonts w:ascii="Cambria" w:hAnsi="Cambria" w:eastAsia="宋体"/>
    </w:rPr>
  </w:style>
  <w:style w:type="character" w:customStyle="1" w:styleId="35">
    <w:name w:val="页脚 字符"/>
    <w:link w:val="12"/>
    <w:qFormat/>
    <w:uiPriority w:val="99"/>
    <w:rPr>
      <w:rFonts w:ascii="Times New Roman" w:hAnsi="Times New Roman"/>
      <w:kern w:val="2"/>
      <w:sz w:val="18"/>
      <w:szCs w:val="18"/>
    </w:rPr>
  </w:style>
  <w:style w:type="character" w:customStyle="1" w:styleId="36">
    <w:name w:val="页眉 字符"/>
    <w:link w:val="13"/>
    <w:qFormat/>
    <w:uiPriority w:val="0"/>
    <w:rPr>
      <w:rFonts w:ascii="Times New Roman" w:hAnsi="Times New Roman"/>
      <w:kern w:val="2"/>
      <w:sz w:val="18"/>
      <w:szCs w:val="18"/>
    </w:rPr>
  </w:style>
  <w:style w:type="character" w:customStyle="1" w:styleId="37">
    <w:name w:val="副标题 字符"/>
    <w:link w:val="14"/>
    <w:qFormat/>
    <w:uiPriority w:val="0"/>
    <w:rPr>
      <w:rFonts w:ascii="Cambria" w:hAnsi="Cambria" w:eastAsia="宋体"/>
      <w:sz w:val="24"/>
      <w:szCs w:val="24"/>
    </w:rPr>
  </w:style>
  <w:style w:type="character" w:customStyle="1" w:styleId="38">
    <w:name w:val="标题 字符"/>
    <w:link w:val="17"/>
    <w:qFormat/>
    <w:uiPriority w:val="0"/>
    <w:rPr>
      <w:rFonts w:ascii="Cambria" w:hAnsi="Cambria" w:eastAsia="宋体"/>
      <w:b/>
      <w:bCs/>
      <w:kern w:val="28"/>
      <w:sz w:val="32"/>
      <w:szCs w:val="32"/>
    </w:rPr>
  </w:style>
  <w:style w:type="character" w:customStyle="1" w:styleId="39">
    <w:name w:val="不明显强调1"/>
    <w:qFormat/>
    <w:uiPriority w:val="0"/>
    <w:rPr>
      <w:i/>
      <w:color w:val="5A5A5A"/>
    </w:rPr>
  </w:style>
  <w:style w:type="character" w:customStyle="1" w:styleId="40">
    <w:name w:val="明显参考1"/>
    <w:qFormat/>
    <w:uiPriority w:val="0"/>
    <w:rPr>
      <w:b/>
      <w:sz w:val="24"/>
      <w:u w:val="single"/>
    </w:rPr>
  </w:style>
  <w:style w:type="character" w:customStyle="1" w:styleId="41">
    <w:name w:val="不明显参考1"/>
    <w:qFormat/>
    <w:uiPriority w:val="0"/>
    <w:rPr>
      <w:sz w:val="24"/>
      <w:szCs w:val="24"/>
      <w:u w:val="single"/>
    </w:rPr>
  </w:style>
  <w:style w:type="character" w:customStyle="1" w:styleId="42">
    <w:name w:val="明显引用 字符"/>
    <w:link w:val="43"/>
    <w:qFormat/>
    <w:uiPriority w:val="0"/>
    <w:rPr>
      <w:b/>
      <w:i/>
      <w:sz w:val="24"/>
    </w:rPr>
  </w:style>
  <w:style w:type="paragraph" w:styleId="43">
    <w:name w:val="Intense Quote"/>
    <w:basedOn w:val="1"/>
    <w:next w:val="1"/>
    <w:link w:val="42"/>
    <w:qFormat/>
    <w:uiPriority w:val="0"/>
    <w:pPr>
      <w:ind w:left="720" w:right="720"/>
    </w:pPr>
    <w:rPr>
      <w:rFonts w:ascii="Calibri" w:hAnsi="Calibri"/>
      <w:b/>
      <w:i/>
      <w:kern w:val="0"/>
      <w:sz w:val="24"/>
      <w:szCs w:val="20"/>
    </w:rPr>
  </w:style>
  <w:style w:type="character" w:customStyle="1" w:styleId="44">
    <w:name w:val="引用 字符"/>
    <w:link w:val="45"/>
    <w:qFormat/>
    <w:uiPriority w:val="0"/>
    <w:rPr>
      <w:i/>
      <w:sz w:val="24"/>
      <w:szCs w:val="24"/>
    </w:rPr>
  </w:style>
  <w:style w:type="paragraph" w:styleId="45">
    <w:name w:val="Quote"/>
    <w:basedOn w:val="1"/>
    <w:next w:val="1"/>
    <w:link w:val="44"/>
    <w:qFormat/>
    <w:uiPriority w:val="0"/>
    <w:rPr>
      <w:rFonts w:ascii="Calibri" w:hAnsi="Calibri"/>
      <w:i/>
      <w:kern w:val="0"/>
      <w:sz w:val="24"/>
    </w:rPr>
  </w:style>
  <w:style w:type="character" w:customStyle="1" w:styleId="46">
    <w:name w:val="明显强调1"/>
    <w:qFormat/>
    <w:uiPriority w:val="0"/>
    <w:rPr>
      <w:b/>
      <w:i/>
      <w:sz w:val="24"/>
      <w:szCs w:val="24"/>
      <w:u w:val="single"/>
    </w:rPr>
  </w:style>
  <w:style w:type="character" w:customStyle="1" w:styleId="47">
    <w:name w:val="书籍标题1"/>
    <w:qFormat/>
    <w:uiPriority w:val="0"/>
    <w:rPr>
      <w:rFonts w:ascii="Cambria" w:hAnsi="Cambria" w:eastAsia="宋体"/>
      <w:b/>
      <w:i/>
      <w:sz w:val="24"/>
      <w:szCs w:val="24"/>
    </w:rPr>
  </w:style>
  <w:style w:type="paragraph" w:customStyle="1" w:styleId="48">
    <w:name w:val="列出段落"/>
    <w:basedOn w:val="1"/>
    <w:qFormat/>
    <w:uiPriority w:val="0"/>
    <w:pPr>
      <w:ind w:left="720"/>
      <w:contextualSpacing/>
    </w:pPr>
  </w:style>
  <w:style w:type="paragraph" w:styleId="49">
    <w:name w:val="No Spacing"/>
    <w:basedOn w:val="1"/>
    <w:qFormat/>
    <w:uiPriority w:val="0"/>
    <w:rPr>
      <w:szCs w:val="32"/>
    </w:rPr>
  </w:style>
  <w:style w:type="paragraph" w:customStyle="1" w:styleId="50">
    <w:name w:val="页脚 New"/>
    <w:basedOn w:val="51"/>
    <w:qFormat/>
    <w:uiPriority w:val="0"/>
    <w:pPr>
      <w:tabs>
        <w:tab w:val="center" w:pos="4153"/>
        <w:tab w:val="right" w:pos="8306"/>
      </w:tabs>
      <w:snapToGrid w:val="0"/>
      <w:jc w:val="left"/>
    </w:pPr>
    <w:rPr>
      <w:sz w:val="18"/>
      <w:szCs w:val="18"/>
    </w:rPr>
  </w:style>
  <w:style w:type="paragraph" w:customStyle="1" w:styleId="51">
    <w:name w:val="正文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52">
    <w:name w:val="TOC 标题1"/>
    <w:basedOn w:val="12"/>
    <w:next w:val="1"/>
    <w:qFormat/>
    <w:uiPriority w:val="0"/>
    <w:pPr>
      <w:outlineLvl w:val="9"/>
    </w:pPr>
  </w:style>
  <w:style w:type="paragraph" w:customStyle="1" w:styleId="53">
    <w:name w:val="Char Char Char Char Char Char Char"/>
    <w:basedOn w:val="1"/>
    <w:qFormat/>
    <w:uiPriority w:val="0"/>
  </w:style>
  <w:style w:type="paragraph" w:customStyle="1" w:styleId="5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普通(网站) New"/>
    <w:basedOn w:val="1"/>
    <w:qFormat/>
    <w:uiPriority w:val="0"/>
    <w:pPr>
      <w:spacing w:before="100" w:beforeAutospacing="1" w:after="100" w:afterAutospacing="1"/>
      <w:jc w:val="left"/>
    </w:pPr>
    <w:rPr>
      <w:rFonts w:ascii="Calibri" w:hAnsi="Calibri"/>
      <w:kern w:val="0"/>
      <w:sz w:val="24"/>
      <w:szCs w:val="22"/>
    </w:rPr>
  </w:style>
  <w:style w:type="character" w:customStyle="1" w:styleId="56">
    <w:name w:val="NormalCharacter"/>
    <w:qFormat/>
    <w:uiPriority w:val="99"/>
  </w:style>
  <w:style w:type="paragraph" w:customStyle="1" w:styleId="57">
    <w:name w:val="样式 左 行距: 最小值 28 磅"/>
    <w:basedOn w:val="1"/>
    <w:qFormat/>
    <w:uiPriority w:val="0"/>
    <w:pPr>
      <w:shd w:val="clear" w:color="auto" w:fill="FFFFFF"/>
      <w:spacing w:line="360" w:lineRule="atLeast"/>
      <w:jc w:val="left"/>
    </w:pPr>
    <w:rPr>
      <w:sz w:val="32"/>
      <w:szCs w:val="32"/>
    </w:rPr>
  </w:style>
  <w:style w:type="paragraph" w:customStyle="1" w:styleId="58">
    <w:name w:val="_Style 1"/>
    <w:basedOn w:val="1"/>
    <w:qFormat/>
    <w:uiPriority w:val="0"/>
    <w:pPr>
      <w:ind w:firstLine="420" w:firstLineChars="200"/>
    </w:pPr>
    <w:rPr>
      <w:rFonts w:ascii="Calibri" w:hAnsi="Calibri"/>
    </w:rPr>
  </w:style>
  <w:style w:type="paragraph" w:styleId="59">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4267</Words>
  <Characters>4290</Characters>
  <Lines>1</Lines>
  <Paragraphs>1</Paragraphs>
  <TotalTime>11</TotalTime>
  <ScaleCrop>false</ScaleCrop>
  <LinksUpToDate>false</LinksUpToDate>
  <CharactersWithSpaces>4424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2010-07-19T08:41:00Z</dcterms:created>
  <dc:creator>admin</dc:creator>
  <cp:lastModifiedBy>栾</cp:lastModifiedBy>
  <cp:lastPrinted>2024-10-17T16:09:00Z</cp:lastPrinted>
  <dcterms:modified xsi:type="dcterms:W3CDTF">2024-10-28T07:41:35Z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AA13C0DD496C40AE915B2D829A4D3237_13</vt:lpwstr>
  </property>
</Properties>
</file>